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ura-20230331.htm"/>
      <w:bookmarkStart w:id="1" w:name="ksaura20230331"/>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Arial;sans-serif" w:hAnsi="Arial;sans-serif"/>
          <w:b/>
          <w:sz w:val="36"/>
        </w:rPr>
      </w:pPr>
      <w:r>
        <w:rPr>
          <w:rFonts w:ascii="Arial;sans-serif" w:hAnsi="Arial;sans-serif"/>
          <w:b/>
          <w:sz w:val="36"/>
        </w:rPr>
        <w:t>UNITED STATES</w:t>
      </w:r>
    </w:p>
    <w:p>
      <w:pPr>
        <w:pStyle w:val="TextBody"/>
        <w:bidi w:val="0"/>
        <w:spacing w:before="0" w:after="0"/>
        <w:jc w:val="center"/>
        <w:rPr>
          <w:rFonts w:ascii="Arial;sans-serif" w:hAnsi="Arial;sans-serif"/>
          <w:b/>
          <w:sz w:val="36"/>
        </w:rPr>
      </w:pPr>
      <w:r>
        <w:rPr>
          <w:rFonts w:ascii="Arial;sans-serif" w:hAnsi="Arial;sans-serif"/>
          <w:b/>
          <w:sz w:val="36"/>
        </w:rPr>
        <w:t>SECURITIES AND EXCHANGE COMMISSION</w:t>
      </w:r>
    </w:p>
    <w:p>
      <w:pPr>
        <w:pStyle w:val="TextBody"/>
        <w:bidi w:val="0"/>
        <w:spacing w:before="0" w:after="0"/>
        <w:jc w:val="center"/>
        <w:rPr>
          <w:rFonts w:ascii="Arial;sans-serif" w:hAnsi="Arial;sans-serif"/>
          <w:b/>
          <w:sz w:val="24"/>
        </w:rPr>
      </w:pPr>
      <w:r>
        <w:rPr>
          <w:rFonts w:ascii="Arial;sans-serif" w:hAnsi="Arial;sans-serif"/>
          <w:b/>
          <w:sz w:val="24"/>
        </w:rPr>
        <w:t>WASHINGTON, DC 20549</w:t>
      </w:r>
    </w:p>
    <w:p>
      <w:pPr>
        <w:pStyle w:val="TextBody"/>
        <w:pBdr>
          <w:bottom w:val="single" w:sz="4" w:space="1" w:color="000000"/>
        </w:pBdr>
        <w:bidi w:val="0"/>
        <w:spacing w:before="40" w:after="100"/>
        <w:jc w:val="center"/>
        <w:rPr/>
      </w:pPr>
      <w:r>
        <w:rPr/>
        <w:t> </w:t>
      </w:r>
    </w:p>
    <w:p>
      <w:pPr>
        <w:pStyle w:val="TextBody"/>
        <w:bidi w:val="0"/>
        <w:spacing w:before="120" w:after="0"/>
        <w:jc w:val="center"/>
        <w:rPr>
          <w:rFonts w:ascii="Arial;sans-serif" w:hAnsi="Arial;sans-serif"/>
          <w:b/>
          <w:sz w:val="36"/>
        </w:rPr>
      </w:pPr>
      <w:r>
        <w:rPr>
          <w:rFonts w:ascii="Arial;sans-serif" w:hAnsi="Arial;sans-serif"/>
          <w:b/>
          <w:sz w:val="36"/>
        </w:rPr>
        <w:t>FORM 10-Q</w:t>
      </w:r>
    </w:p>
    <w:p>
      <w:pPr>
        <w:pStyle w:val="TextBody"/>
        <w:pBdr>
          <w:bottom w:val="single" w:sz="4" w:space="1" w:color="000000"/>
        </w:pBdr>
        <w:bidi w:val="0"/>
        <w:spacing w:before="40" w:after="0"/>
        <w:jc w:val="center"/>
        <w:rPr/>
      </w:pPr>
      <w:r>
        <w:rPr/>
        <w:t> </w:t>
      </w:r>
    </w:p>
    <w:p>
      <w:pPr>
        <w:pStyle w:val="TextBody"/>
        <w:bidi w:val="0"/>
        <w:spacing w:before="0" w:after="0"/>
        <w:jc w:val="left"/>
        <w:rPr>
          <w:rFonts w:ascii="Arial;sans-serif" w:hAnsi="Arial;sans-serif"/>
          <w:b/>
          <w:sz w:val="16"/>
        </w:rPr>
      </w:pPr>
      <w:r>
        <w:rPr>
          <w:rFonts w:ascii="Arial;sans-serif" w:hAnsi="Arial;sans-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QUARTERLY REPORT PURSUANT TO SECTION 13 OR 15(d) OF THE SECURITIES EXCHANGE ACT OF 1934</w:t>
            </w:r>
          </w:p>
        </w:tc>
      </w:tr>
    </w:tbl>
    <w:p>
      <w:pPr>
        <w:pStyle w:val="TextBody"/>
        <w:bidi w:val="0"/>
        <w:spacing w:before="80" w:after="0"/>
        <w:jc w:val="center"/>
        <w:rPr>
          <w:rFonts w:ascii="Arial;sans-serif" w:hAnsi="Arial;sans-serif"/>
          <w:b/>
          <w:sz w:val="20"/>
        </w:rPr>
      </w:pPr>
      <w:r>
        <w:rPr>
          <w:rFonts w:ascii="Arial;sans-serif" w:hAnsi="Arial;sans-serif"/>
          <w:b/>
          <w:sz w:val="20"/>
        </w:rPr>
        <w:t>For the quarterly period ended March 31, 2023</w:t>
      </w:r>
    </w:p>
    <w:p>
      <w:pPr>
        <w:pStyle w:val="TextBody"/>
        <w:bidi w:val="0"/>
        <w:spacing w:before="80" w:after="0"/>
        <w:jc w:val="center"/>
        <w:rPr>
          <w:rFonts w:ascii="Arial;sans-serif" w:hAnsi="Arial;sans-serif"/>
          <w:b/>
          <w:sz w:val="20"/>
        </w:rPr>
      </w:pPr>
      <w:r>
        <w:rPr>
          <w:rFonts w:ascii="Arial;sans-serif" w:hAnsi="Arial;sans-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80" w:after="0"/>
              <w:ind w:left="0" w:right="0" w:hanging="0"/>
              <w:jc w:val="left"/>
              <w:rPr>
                <w:rFonts w:ascii="Arial;sans-serif" w:hAnsi="Arial;sans-serif"/>
                <w:b/>
                <w:sz w:val="20"/>
              </w:rPr>
            </w:pPr>
            <w:r>
              <w:rPr>
                <w:rFonts w:ascii="Arial;sans-serif" w:hAnsi="Arial;sans-serif"/>
                <w:b/>
                <w:sz w:val="20"/>
              </w:rPr>
              <w:t>TRANSITION REPORT PURSUANT TO SECTION 13 OR 15(d) OF THE SECURITIES EXCHANGE ACT OF 1934</w:t>
            </w:r>
          </w:p>
        </w:tc>
      </w:tr>
    </w:tbl>
    <w:p>
      <w:pPr>
        <w:pStyle w:val="TextBody"/>
        <w:bidi w:val="0"/>
        <w:spacing w:before="120" w:after="0"/>
        <w:jc w:val="center"/>
        <w:rPr>
          <w:rFonts w:ascii="Arial;sans-serif" w:hAnsi="Arial;sans-serif"/>
          <w:b/>
          <w:sz w:val="20"/>
        </w:rPr>
      </w:pPr>
      <w:r>
        <w:rPr>
          <w:rFonts w:ascii="Arial;sans-serif" w:hAnsi="Arial;sans-serif"/>
          <w:b/>
          <w:sz w:val="20"/>
        </w:rPr>
        <w:t>For the transition period from ___________________ to ___________________</w:t>
      </w:r>
    </w:p>
    <w:p>
      <w:pPr>
        <w:pStyle w:val="TextBody"/>
        <w:bidi w:val="0"/>
        <w:spacing w:before="120" w:after="0"/>
        <w:jc w:val="center"/>
        <w:rPr>
          <w:rFonts w:ascii="Arial;sans-serif" w:hAnsi="Arial;sans-serif"/>
          <w:b/>
          <w:sz w:val="20"/>
        </w:rPr>
      </w:pPr>
      <w:r>
        <w:rPr>
          <w:rFonts w:ascii="Arial;sans-serif" w:hAnsi="Arial;sans-serif"/>
          <w:b/>
          <w:sz w:val="20"/>
        </w:rPr>
        <w:t>Commission File Number: 001-40971</w:t>
      </w:r>
    </w:p>
    <w:p>
      <w:pPr>
        <w:pStyle w:val="TextBody"/>
        <w:pBdr>
          <w:bottom w:val="single" w:sz="4" w:space="1" w:color="000000"/>
        </w:pBdr>
        <w:bidi w:val="0"/>
        <w:spacing w:before="40" w:after="100"/>
        <w:jc w:val="center"/>
        <w:rPr/>
      </w:pPr>
      <w:r>
        <w:rPr/>
        <w:t> </w:t>
      </w:r>
    </w:p>
    <w:p>
      <w:pPr>
        <w:pStyle w:val="TextBody"/>
        <w:bidi w:val="0"/>
        <w:spacing w:before="0" w:after="0"/>
        <w:jc w:val="center"/>
        <w:rPr>
          <w:rFonts w:ascii="Arial;sans-serif" w:hAnsi="Arial;sans-serif"/>
          <w:b/>
          <w:sz w:val="48"/>
        </w:rPr>
      </w:pPr>
      <w:r>
        <w:rPr>
          <w:rFonts w:ascii="Arial;sans-serif" w:hAnsi="Arial;sans-serif"/>
          <w:b/>
          <w:sz w:val="48"/>
        </w:rPr>
        <w:t>AURA BIOSCIENCES, INC.</w:t>
      </w:r>
    </w:p>
    <w:p>
      <w:pPr>
        <w:pStyle w:val="TextBody"/>
        <w:bidi w:val="0"/>
        <w:spacing w:before="0" w:after="0"/>
        <w:jc w:val="center"/>
        <w:rPr>
          <w:rFonts w:ascii="Arial;sans-serif" w:hAnsi="Arial;sans-serif"/>
          <w:b/>
          <w:sz w:val="20"/>
        </w:rPr>
      </w:pPr>
      <w:r>
        <w:rPr>
          <w:rFonts w:ascii="Arial;sans-serif" w:hAnsi="Arial;sans-serif"/>
          <w:b/>
          <w:sz w:val="20"/>
        </w:rPr>
        <w:t>(Exact Name of Registrant as Specified in its Charter)</w:t>
      </w:r>
    </w:p>
    <w:p>
      <w:pPr>
        <w:pStyle w:val="TextBody"/>
        <w:pBdr>
          <w:bottom w:val="single" w:sz="4" w:space="1" w:color="000000"/>
        </w:pBdr>
        <w:bidi w:val="0"/>
        <w:spacing w:before="40" w:after="0"/>
        <w:jc w:val="center"/>
        <w:rPr/>
      </w:pPr>
      <w:r>
        <w:rPr/>
        <w:t> </w:t>
      </w:r>
    </w:p>
    <w:p>
      <w:pPr>
        <w:pStyle w:val="TextBody"/>
        <w:bidi w:val="0"/>
        <w:spacing w:before="0" w:after="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Delaware</w:t>
            </w:r>
          </w:p>
        </w:tc>
        <w:tc>
          <w:tcPr>
            <w:tcW w:w="129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32-0271970</w:t>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(State or other jurisdiction of</w:t>
            </w:r>
          </w:p>
          <w:p>
            <w:pPr>
              <w:pStyle w:val="TableContents"/>
              <w:bidi w:val="0"/>
              <w:spacing w:before="0" w:after="15"/>
              <w:ind w:left="0" w:right="0" w:hanging="0"/>
              <w:jc w:val="center"/>
              <w:rPr>
                <w:rFonts w:ascii="Arial;sans-serif" w:hAnsi="Arial;sans-serif"/>
                <w:b/>
                <w:sz w:val="14"/>
              </w:rPr>
            </w:pPr>
            <w:r>
              <w:rPr>
                <w:rFonts w:ascii="Arial;sans-serif" w:hAnsi="Arial;sans-serif"/>
                <w:b/>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60" w:after="15"/>
              <w:ind w:left="0" w:right="0" w:hanging="0"/>
              <w:jc w:val="center"/>
              <w:rPr>
                <w:rFonts w:ascii="Arial;sans-serif" w:hAnsi="Arial;sans-serif"/>
                <w:b/>
                <w:sz w:val="20"/>
              </w:rPr>
            </w:pPr>
            <w:r>
              <w:rPr>
                <w:rFonts w:ascii="Arial;sans-serif" w:hAnsi="Arial;sans-serif"/>
                <w:b/>
                <w:sz w:val="20"/>
              </w:rPr>
              <w:t>80 Guest Street</w:t>
            </w:r>
          </w:p>
          <w:p>
            <w:pPr>
              <w:pStyle w:val="TableContents"/>
              <w:bidi w:val="0"/>
              <w:spacing w:before="0" w:after="15"/>
              <w:ind w:left="0" w:right="0" w:hanging="0"/>
              <w:jc w:val="center"/>
              <w:rPr>
                <w:rFonts w:ascii="Arial;sans-serif" w:hAnsi="Arial;sans-serif"/>
                <w:b/>
                <w:sz w:val="20"/>
              </w:rPr>
            </w:pPr>
            <w:r>
              <w:rPr>
                <w:rFonts w:ascii="Arial;sans-serif" w:hAnsi="Arial;sans-serif"/>
                <w:b/>
                <w:sz w:val="20"/>
              </w:rPr>
              <w:t>Boston, MA</w:t>
            </w:r>
          </w:p>
        </w:tc>
        <w:tc>
          <w:tcPr>
            <w:tcW w:w="129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02135</w:t>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(Zip Code)</w:t>
            </w:r>
          </w:p>
        </w:tc>
      </w:tr>
    </w:tbl>
    <w:p>
      <w:pPr>
        <w:pStyle w:val="TextBody"/>
        <w:bidi w:val="0"/>
        <w:spacing w:before="80" w:after="0"/>
        <w:jc w:val="center"/>
        <w:rPr>
          <w:rFonts w:ascii="Arial;sans-serif" w:hAnsi="Arial;sans-serif"/>
          <w:b/>
          <w:sz w:val="20"/>
        </w:rPr>
      </w:pPr>
      <w:r>
        <w:rPr>
          <w:rFonts w:ascii="Arial;sans-serif" w:hAnsi="Arial;sans-serif"/>
          <w:b/>
          <w:sz w:val="20"/>
        </w:rPr>
        <w:t>Registrant’s telephone number, including area code: (617) 500-8864</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rFonts w:ascii="Arial;sans-serif" w:hAnsi="Arial;sans-serif"/>
          <w:b/>
          <w:sz w:val="14"/>
        </w:rPr>
      </w:pPr>
      <w:r>
        <w:rPr>
          <w:rFonts w:ascii="Arial;sans-serif" w:hAnsi="Arial;sans-serif"/>
          <w:b/>
          <w:sz w:val="14"/>
        </w:rPr>
        <w:t>(Former Name or Former Address, if Changed Since Last Report)</w:t>
      </w:r>
    </w:p>
    <w:p>
      <w:pPr>
        <w:pStyle w:val="TextBody"/>
        <w:pBdr>
          <w:bottom w:val="single" w:sz="4" w:space="1" w:color="000000"/>
        </w:pBdr>
        <w:bidi w:val="0"/>
        <w:spacing w:before="40" w:after="0"/>
        <w:jc w:val="center"/>
        <w:rPr/>
      </w:pPr>
      <w:r>
        <w:rPr/>
        <w:t> </w:t>
      </w:r>
    </w:p>
    <w:p>
      <w:pPr>
        <w:pStyle w:val="TextBody"/>
        <w:bidi w:val="0"/>
        <w:spacing w:before="80" w:after="0"/>
        <w:jc w:val="left"/>
        <w:rPr>
          <w:rFonts w:ascii="Times New Roman" w:hAnsi="Times New Roman"/>
          <w:sz w:val="20"/>
        </w:rPr>
      </w:pPr>
      <w:r>
        <w:rPr>
          <w:rFonts w:ascii="Arial;sans-serif" w:hAnsi="Arial;sans-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740" w:type="dxa"/>
        <w:jc w:val="left"/>
        <w:tblInd w:w="0" w:type="dxa"/>
        <w:tblLayout w:type="fixed"/>
        <w:tblCellMar>
          <w:top w:w="28" w:type="dxa"/>
          <w:left w:w="28" w:type="dxa"/>
          <w:bottom w:w="28" w:type="dxa"/>
          <w:right w:w="28" w:type="dxa"/>
        </w:tblCellMar>
      </w:tblPr>
      <w:tblGrid>
        <w:gridCol w:w="3871"/>
        <w:gridCol w:w="146"/>
        <w:gridCol w:w="916"/>
        <w:gridCol w:w="146"/>
        <w:gridCol w:w="366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Trading</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Name of each exchange on which registered</w:t>
            </w:r>
          </w:p>
        </w:tc>
      </w:tr>
      <w:tr>
        <w:trPr/>
        <w:tc>
          <w:tcPr>
            <w:tcW w:w="387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Common Stock, par value $0.00001 per share</w:t>
            </w:r>
          </w:p>
        </w:tc>
        <w:tc>
          <w:tcPr>
            <w:tcW w:w="14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AURA</w:t>
            </w:r>
          </w:p>
        </w:tc>
        <w:tc>
          <w:tcPr>
            <w:tcW w:w="146" w:type="dxa"/>
            <w:tcBorders/>
            <w:vAlign w:val="center"/>
          </w:tcPr>
          <w:p>
            <w:pPr>
              <w:pStyle w:val="TableContents"/>
              <w:bidi w:val="0"/>
              <w:spacing w:before="0" w:after="0"/>
              <w:ind w:left="0" w:right="0" w:hanging="0"/>
              <w:jc w:val="center"/>
              <w:rPr/>
            </w:pPr>
            <w:r>
              <w:rPr/>
              <w:t> </w:t>
            </w:r>
          </w:p>
        </w:tc>
        <w:tc>
          <w:tcPr>
            <w:tcW w:w="366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Nasdaq Global Market LLC</w:t>
            </w:r>
          </w:p>
        </w:tc>
      </w:tr>
    </w:tbl>
    <w:p>
      <w:pPr>
        <w:pStyle w:val="TextBody"/>
        <w:bidi w:val="0"/>
        <w:spacing w:before="120" w:after="0"/>
        <w:jc w:val="left"/>
        <w:rPr>
          <w:rFonts w:ascii="Times New Roman" w:hAnsi="Times New Roman"/>
          <w:sz w:val="20"/>
        </w:rPr>
      </w:pPr>
      <w:r>
        <w:rPr>
          <w:rFonts w:ascii="Arial;sans-serif" w:hAnsi="Arial;sans-serif"/>
          <w:b w:val="false"/>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sz w:val="20"/>
        </w:rPr>
        <w:t xml:space="preserve">☒ </w:t>
      </w:r>
      <w:r>
        <w:rPr>
          <w:rFonts w:ascii="Arial;sans-serif" w:hAnsi="Arial;sans-serif"/>
          <w:b w:val="false"/>
          <w:sz w:val="18"/>
        </w:rPr>
        <w:t>No</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18"/>
        </w:rPr>
        <w:t xml:space="preserve">No </w:t>
      </w:r>
      <w:r>
        <w:rPr>
          <w:rFonts w:ascii="Times New Roman" w:hAnsi="Times New Roman"/>
          <w:sz w:val="20"/>
        </w:rPr>
        <w:t>☐</w:t>
      </w:r>
    </w:p>
    <w:p>
      <w:pPr>
        <w:pStyle w:val="TextBody"/>
        <w:bidi w:val="0"/>
        <w:spacing w:before="80" w:after="0"/>
        <w:jc w:val="left"/>
        <w:rPr>
          <w:rFonts w:ascii="Arial;sans-serif" w:hAnsi="Arial;sans-serif"/>
          <w:b w:val="false"/>
          <w:sz w:val="18"/>
        </w:rPr>
      </w:pPr>
      <w:r>
        <w:rPr>
          <w:rFonts w:ascii="Arial;sans-serif" w:hAnsi="Arial;sans-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3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Arial;sans-serif" w:hAnsi="Arial;sans-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18"/>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Arial;sans-serif" w:hAnsi="Arial;sans-serif"/>
          <w:b w:val="false"/>
          <w:sz w:val="18"/>
        </w:rPr>
        <w:t>As of May 8, 2023, the registrant had 37,800,102</w:t>
      </w:r>
      <w:r>
        <w:rPr>
          <w:rFonts w:ascii="Times New Roman" w:hAnsi="Times New Roman"/>
          <w:sz w:val="20"/>
        </w:rPr>
        <w:t xml:space="preserve"> </w:t>
      </w:r>
      <w:r>
        <w:rPr>
          <w:rFonts w:ascii="Arial;sans-serif" w:hAnsi="Arial;sans-serif"/>
          <w:b w:val="false"/>
          <w:sz w:val="18"/>
        </w:rPr>
        <w:t>shares of common stock, $0.00001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sz w:val="20"/>
        </w:rPr>
      </w:pPr>
      <w:bookmarkStart w:id="2" w:name="summary_of_the_material_risks"/>
      <w:bookmarkEnd w:id="2"/>
      <w:r>
        <w:rPr>
          <w:rFonts w:ascii="Arial;sans-serif" w:hAnsi="Arial;sans-serif"/>
          <w:b/>
          <w:sz w:val="20"/>
        </w:rPr>
        <w:t>Summary of the Material Risks Associated with Our Business</w:t>
      </w:r>
    </w:p>
    <w:p>
      <w:pPr>
        <w:pStyle w:val="TextBody"/>
        <w:bidi w:val="0"/>
        <w:spacing w:before="0" w:after="0"/>
        <w:jc w:val="left"/>
        <w:rPr/>
      </w:pPr>
      <w:r>
        <w:rPr/>
        <w:t> </w:t>
      </w:r>
    </w:p>
    <w:p>
      <w:pPr>
        <w:pStyle w:val="TextBody"/>
        <w:bidi w:val="0"/>
        <w:spacing w:before="0" w:after="0"/>
        <w:jc w:val="left"/>
        <w:rPr>
          <w:rFonts w:ascii="Arial;sans-serif" w:hAnsi="Arial;sans-serif"/>
          <w:b w:val="false"/>
          <w:i/>
          <w:sz w:val="20"/>
        </w:rPr>
      </w:pPr>
      <w:r>
        <w:rPr>
          <w:rFonts w:ascii="Arial;sans-serif" w:hAnsi="Arial;sans-serif"/>
          <w:b w:val="false"/>
          <w:i/>
          <w:sz w:val="20"/>
        </w:rPr>
        <w:t>Our business is subject to numerous material and other risks and uncertainties that you should be aware of in evaluating our business. These risks are described more fully in Part II, “Item 1A—Risk Factors,” and include, but are not limited to, the following:</w:t>
      </w:r>
    </w:p>
    <w:p>
      <w:pPr>
        <w:pStyle w:val="TextBody"/>
        <w:bidi w:val="0"/>
        <w:spacing w:before="80" w:after="0"/>
        <w:jc w:val="both"/>
        <w:rPr/>
      </w:pPr>
      <w:r>
        <w:rPr/>
        <w:t>•</w:t>
      </w:r>
    </w:p>
    <w:p>
      <w:pPr>
        <w:pStyle w:val="TextBody"/>
        <w:bidi w:val="0"/>
        <w:spacing w:before="80" w:after="0"/>
        <w:jc w:val="both"/>
        <w:rPr>
          <w:rFonts w:ascii="Arial;sans-serif" w:hAnsi="Arial;sans-serif"/>
          <w:b w:val="false"/>
          <w:sz w:val="20"/>
        </w:rPr>
      </w:pPr>
      <w:r>
        <w:rPr>
          <w:rFonts w:ascii="Arial;sans-serif" w:hAnsi="Arial;sans-serif"/>
          <w:b w:val="false"/>
          <w:sz w:val="20"/>
        </w:rPr>
        <w:t>We have incurred significant net losses since our inception and anticipate that we will continue to incur losses for the foreseeable future.</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Raising additional capital may cause dilution to our existing stockholders, restrict our operations or require us to relinquish proprietary rights to our technologies or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ability to generate revenue and achieve profitability depends significantly on our ability to achieve our objectives relating to the discovery, development and commercialization of our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We are heavily dependent on the success of AU-011 or belzupacap sarotalocan, or bel-sar, our only product candidate to date.</w:t>
      </w:r>
    </w:p>
    <w:p>
      <w:pPr>
        <w:pStyle w:val="TextBody"/>
        <w:bidi w:val="0"/>
        <w:spacing w:before="40" w:after="0"/>
        <w:jc w:val="both"/>
        <w:rPr/>
      </w:pPr>
      <w:r>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0" w:after="0"/>
        <w:jc w:val="both"/>
        <w:rPr>
          <w:rFonts w:ascii="Arial;sans-serif" w:hAnsi="Arial;sans-serif"/>
          <w:b w:val="false"/>
          <w:sz w:val="20"/>
        </w:rPr>
      </w:pPr>
      <w:r>
        <w:rPr>
          <w:rFonts w:ascii="Arial;sans-serif" w:hAnsi="Arial;sans-serif"/>
          <w:b w:val="false"/>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We have not yet successfully initiated or completed any pivotal clinical trials nor commercialized any pharmaceutical products, which may make it difficult to evaluate our future prospects.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If we fail to develop additional product candidates, or obtain additional indications of our first product candidate our commercial opportunity could be limited.</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We currently rely on third-party contract manufacturing organizations, or CMOs, for the production of clinical supply of bel-sar and may continue to rely on CMOs for the production of commercial supply of bel-sar,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If bel-sar or any future product candidates do not achieve broad market acceptance, the revenue that we generate from their sales may be limited, and we may never become profitable.</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ability to compete may decline if we do not adequately protect our proprietary rights, and our proprietary rights do not necessarily address all potential threats to our competitive advantage.</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If we lose key management personnel, or if we fail to recruit additional highly skilled personnel, our ability to pursue our business strategy will be impaired, could result in loss of markets or market share and could make us less competitive.</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Business disruptions could seriously harm our future revenue and financial condition and increase our costs and expenses.</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Our principal stockholders and management own a significant percentage of our stock and will be able to exert significant influence over matters subject to stockholder approval.</w:t>
      </w:r>
    </w:p>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sz w:val="20"/>
        </w:rPr>
      </w:pPr>
      <w:r>
        <w:rPr>
          <w:rFonts w:ascii="Arial;sans-serif" w:hAnsi="Arial;sans-serif"/>
          <w:b/>
          <w:sz w:val="20"/>
        </w:rPr>
        <w:t>Special Note Regarding Forward-Looking Statements</w:t>
      </w:r>
    </w:p>
    <w:p>
      <w:pPr>
        <w:pStyle w:val="TextBody"/>
        <w:bidi w:val="0"/>
        <w:spacing w:before="0" w:after="0"/>
        <w:jc w:val="left"/>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This Quarterly Report on Form 10-Q, or the Quarterly Report, contains forward-looking statements which are made pursuant to the safe harbor provisions of Section 27A of the Securities Act of 1933, as amended, or the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ability to efficiently develop our existing product candidates and discover new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ability to successfully manufacture our drug substances and product candidates for preclinical use, for clinical trials and on a larger scale for commercial use, if approved;</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ability and willingness of our third-party strategic collaborators to continue research and development activities relating to our development candidates and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ability to obtain funding for our operations necessary to complete further development and commercialization of our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ability to obtain and maintain regulatory approval of our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ability to commercialize our products, if approved;</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pricing and reimbursement of our product candidates, if approved;</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implementation of our business model, and strategic plans for our business and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scope of protection we are able to establish and maintain for intellectual property rights covering our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estimates of our future expenses, revenues, capital requirements, and our needs for additional financing;</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future agreements with third parties in connection with the commercialization of product candidates and any other approved product;</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size and growth potential of the markets for our product candidates, and our ability to serve those markets;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financial performance;</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rate and degree of market acceptance of our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regulatory developments in the United States and foreign countries;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ability to produce our products or product candidates with advantages in turnaround times or manufacturing cost;</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success of competing therapies that are or may become available;</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our ability to attract and retain key scientific or management personnel;</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impact of laws and regulations;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developments relating to our competitors and our industry;</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effect of macroeconomic conditions, including rising interest rates and inflation, on our business operations;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effect of the COVID-19 pandemic; and</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other risks and uncertainties, including those listed under the caption “Risk Factors.”</w:t>
      </w:r>
    </w:p>
    <w:p>
      <w:pPr>
        <w:pStyle w:val="TextBody"/>
        <w:bidi w:val="0"/>
        <w:spacing w:before="240" w:after="0"/>
        <w:jc w:val="center"/>
        <w:rPr>
          <w:rFonts w:ascii="Arial;sans-serif" w:hAnsi="Arial;sans-serif"/>
          <w:b w:val="false"/>
          <w:sz w:val="20"/>
        </w:rPr>
      </w:pPr>
      <w:r>
        <w:rPr>
          <w:rFonts w:ascii="Arial;sans-serif" w:hAnsi="Arial;sans-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3" w:name="toc_page"/>
      <w:bookmarkEnd w:id="3"/>
      <w:r>
        <w:rPr>
          <w:rFonts w:ascii="Arial;sans-serif" w:hAnsi="Arial;sans-serif"/>
          <w:b/>
          <w:sz w:val="20"/>
        </w:rPr>
        <w:t>Table of Contents</w:t>
      </w:r>
    </w:p>
    <w:p>
      <w:pPr>
        <w:pStyle w:val="TextBody"/>
        <w:bidi w:val="0"/>
        <w:spacing w:before="0" w:after="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ummary_of_the_material_risks">
              <w:r>
                <w:rPr>
                  <w:rStyle w:val="InternetLink"/>
                  <w:rFonts w:ascii="Arial;sans-serif" w:hAnsi="Arial;sans-serif"/>
                  <w:b w:val="false"/>
                  <w:sz w:val="20"/>
                  <w:u w:val="single"/>
                </w:rPr>
                <w:t>SUMMARY OF RISKS</w:t>
              </w:r>
            </w:hyperlink>
            <w:hyperlink w:anchor="summary_of_the_material_risks">
              <w:r>
                <w:rPr>
                  <w:rStyle w:val="InternetLink"/>
                  <w:rFonts w:ascii="Times New Roman" w:hAnsi="Times New Roman"/>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i</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PART I.</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_financial_information">
              <w:r>
                <w:rPr>
                  <w:rStyle w:val="InternetLink"/>
                  <w:rFonts w:ascii="Arial;sans-serif" w:hAnsi="Arial;sans-serif"/>
                  <w:b w:val="false"/>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Arial;sans-serif" w:hAnsi="Arial;sans-serif"/>
                  <w:b w:val="false"/>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balance_sheets_unaudited">
              <w:r>
                <w:rPr>
                  <w:rStyle w:val="InternetLink"/>
                  <w:rFonts w:ascii="Arial;sans-serif" w:hAnsi="Arial;sans-serif"/>
                  <w:b w:val="false"/>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of_operations_and_c">
              <w:r>
                <w:rPr>
                  <w:rStyle w:val="InternetLink"/>
                  <w:rFonts w:ascii="Arial;sans-serif" w:hAnsi="Arial;sans-serif"/>
                  <w:b w:val="false"/>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of_convertible_pref">
              <w:r>
                <w:rPr>
                  <w:rStyle w:val="InternetLink"/>
                  <w:rFonts w:ascii="Arial;sans-serif" w:hAnsi="Arial;sans-serif"/>
                  <w:b w:val="false"/>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of_cash_flows_unaud">
              <w:r>
                <w:rPr>
                  <w:rStyle w:val="InternetLink"/>
                  <w:rFonts w:ascii="Arial;sans-serif" w:hAnsi="Arial;sans-serif"/>
                  <w:b w:val="false"/>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unaudited_condensed_financial_s">
              <w:r>
                <w:rPr>
                  <w:rStyle w:val="InternetLink"/>
                  <w:rFonts w:ascii="Arial;sans-serif" w:hAnsi="Arial;sans-serif"/>
                  <w:b w:val="false"/>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da">
              <w:r>
                <w:rPr>
                  <w:rStyle w:val="InternetLink"/>
                  <w:rFonts w:ascii="Arial;sans-serif" w:hAnsi="Arial;sans-serif"/>
                  <w:b w:val="false"/>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and_qualitative">
              <w:r>
                <w:rPr>
                  <w:rStyle w:val="InternetLink"/>
                  <w:rFonts w:ascii="Arial;sans-serif" w:hAnsi="Arial;sans-serif"/>
                  <w:b w:val="false"/>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and_procedures">
              <w:r>
                <w:rPr>
                  <w:rStyle w:val="InternetLink"/>
                  <w:rFonts w:ascii="Arial;sans-serif" w:hAnsi="Arial;sans-serif"/>
                  <w:b w:val="false"/>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PART II.</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ther_information">
              <w:r>
                <w:rPr>
                  <w:rStyle w:val="InternetLink"/>
                  <w:rFonts w:ascii="Arial;sans-serif" w:hAnsi="Arial;sans-serif"/>
                  <w:b w:val="false"/>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Arial;sans-serif" w:hAnsi="Arial;sans-serif"/>
                  <w:b w:val="false"/>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1A.</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Arial;sans-serif" w:hAnsi="Arial;sans-serif"/>
                  <w:b w:val="false"/>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of_equity">
              <w:r>
                <w:rPr>
                  <w:rStyle w:val="InternetLink"/>
                  <w:rFonts w:ascii="Arial;sans-serif" w:hAnsi="Arial;sans-serif"/>
                  <w:b w:val="false"/>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Arial;sans-serif" w:hAnsi="Arial;sans-serif"/>
                  <w:b w:val="false"/>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Arial;sans-serif" w:hAnsi="Arial;sans-serif"/>
                  <w:b w:val="false"/>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5.</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ther_information">
              <w:r>
                <w:rPr>
                  <w:rStyle w:val="InternetLink"/>
                  <w:rFonts w:ascii="Arial;sans-serif" w:hAnsi="Arial;sans-serif"/>
                  <w:b w:val="false"/>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6.</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Arial;sans-serif" w:hAnsi="Arial;sans-serif"/>
                  <w:b w:val="false"/>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Arial;sans-serif" w:hAnsi="Arial;sans-serif"/>
                  <w:b w:val="false"/>
                  <w:sz w:val="20"/>
                  <w:u w:val="single"/>
                </w:rPr>
                <w:t>Signatures</w:t>
              </w:r>
            </w:hyperlink>
            <w:r>
              <w:rPr>
                <w:rFonts w:ascii="Times New Roman" w:hAnsi="Times New Roman"/>
                <w:sz w:val="20"/>
              </w:rPr>
              <w:t xml:space="preserve">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bookmarkStart w:id="4" w:name="part_i_financial_information"/>
      <w:bookmarkEnd w:id="4"/>
      <w:r>
        <w:rPr>
          <w:rFonts w:ascii="Arial;sans-serif" w:hAnsi="Arial;sans-serif"/>
          <w:b/>
          <w:sz w:val="20"/>
        </w:rPr>
        <w:t>PART I—FINANCIAL INFORMATION</w:t>
      </w:r>
    </w:p>
    <w:p>
      <w:pPr>
        <w:pStyle w:val="TextBody"/>
        <w:bidi w:val="0"/>
        <w:spacing w:before="360" w:after="0"/>
        <w:jc w:val="left"/>
        <w:rPr>
          <w:rFonts w:ascii="Arial;sans-serif" w:hAnsi="Arial;sans-serif"/>
          <w:b/>
          <w:sz w:val="20"/>
        </w:rPr>
      </w:pPr>
      <w:bookmarkStart w:id="5" w:name="item_1_financial_statements"/>
      <w:bookmarkEnd w:id="5"/>
      <w:r>
        <w:rPr>
          <w:rFonts w:ascii="Arial;sans-serif" w:hAnsi="Arial;sans-serif"/>
          <w:b/>
          <w:sz w:val="20"/>
        </w:rPr>
        <w:t>Item 1. Financial Statements.</w:t>
      </w:r>
    </w:p>
    <w:p>
      <w:pPr>
        <w:pStyle w:val="TextBody"/>
        <w:bidi w:val="0"/>
        <w:spacing w:before="0" w:after="0"/>
        <w:jc w:val="center"/>
        <w:rPr>
          <w:rFonts w:ascii="Arial;sans-serif" w:hAnsi="Arial;sans-serif"/>
          <w:b/>
          <w:sz w:val="20"/>
        </w:rPr>
      </w:pPr>
      <w:r>
        <w:rPr>
          <w:rFonts w:ascii="Arial;sans-serif" w:hAnsi="Arial;sans-serif"/>
          <w:b/>
          <w:sz w:val="20"/>
        </w:rPr>
        <w:t>Aura Biosciences, Inc.</w:t>
      </w:r>
    </w:p>
    <w:p>
      <w:pPr>
        <w:pStyle w:val="TextBody"/>
        <w:bidi w:val="0"/>
        <w:spacing w:before="240" w:after="0"/>
        <w:jc w:val="center"/>
        <w:rPr>
          <w:rFonts w:ascii="Arial;sans-serif" w:hAnsi="Arial;sans-serif"/>
          <w:b/>
          <w:sz w:val="20"/>
        </w:rPr>
      </w:pPr>
      <w:bookmarkStart w:id="6" w:name="condensed_balance_sheets_unaudited"/>
      <w:bookmarkEnd w:id="6"/>
      <w:r>
        <w:rPr>
          <w:rFonts w:ascii="Arial;sans-serif" w:hAnsi="Arial;sans-serif"/>
          <w:b/>
          <w:sz w:val="20"/>
        </w:rPr>
        <w:t>Condensed Consolidated Balance Sheets</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center"/>
        <w:rPr>
          <w:rFonts w:ascii="Arial;sans-serif" w:hAnsi="Arial;sans-serif"/>
          <w:b/>
          <w:sz w:val="20"/>
        </w:rPr>
      </w:pPr>
      <w:r>
        <w:rPr>
          <w:rFonts w:ascii="Arial;sans-serif" w:hAnsi="Arial;sans-serif"/>
          <w:b/>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921"/>
        <w:gridCol w:w="146"/>
        <w:gridCol w:w="219"/>
        <w:gridCol w:w="841"/>
        <w:gridCol w:w="166"/>
        <w:gridCol w:w="146"/>
        <w:gridCol w:w="243"/>
        <w:gridCol w:w="931"/>
        <w:gridCol w:w="592"/>
      </w:tblGrid>
      <w:tr>
        <w:trPr/>
        <w:tc>
          <w:tcPr>
            <w:tcW w:w="6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Assets</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Current assets:</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121,582</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Marketable securities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135,030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67,229</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Restricted cash and deposits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5,579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7,871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Total current assets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179,121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196,702</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Restricted cash and deposits, net of current portion</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768</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Right of use assets - operating lease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20,340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20,671</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Other long-term assets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423</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5,371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921" w:type="dxa"/>
            <w:tcBorders/>
            <w:vAlign w:val="center"/>
          </w:tcPr>
          <w:p>
            <w:pPr>
              <w:pStyle w:val="TableContents"/>
              <w:bidi w:val="0"/>
              <w:spacing w:before="0" w:after="0"/>
              <w:ind w:left="200" w:right="0" w:hanging="0"/>
              <w:jc w:val="left"/>
              <w:rPr>
                <w:rFonts w:ascii="Arial;sans-serif" w:hAnsi="Arial;sans-serif"/>
                <w:b/>
                <w:sz w:val="16"/>
              </w:rPr>
            </w:pPr>
            <w:r>
              <w:rPr>
                <w:rFonts w:ascii="Arial;sans-serif" w:hAnsi="Arial;sans-serif"/>
                <w:b/>
                <w:sz w:val="16"/>
              </w:rPr>
              <w:t>Total Assets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206,019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223,935</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Current liabilities:</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Accounts payable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2,921</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Short-term operating lease liability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2,963</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4,067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4,573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10,457</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Long-term operating lease liability</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17,654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17,895</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921" w:type="dxa"/>
            <w:tcBorders/>
            <w:vAlign w:val="center"/>
          </w:tcPr>
          <w:p>
            <w:pPr>
              <w:pStyle w:val="TableContents"/>
              <w:bidi w:val="0"/>
              <w:spacing w:before="0" w:after="0"/>
              <w:ind w:left="200" w:right="0" w:hanging="0"/>
              <w:jc w:val="left"/>
              <w:rPr>
                <w:rFonts w:ascii="Arial;sans-serif" w:hAnsi="Arial;sans-serif"/>
                <w:b/>
                <w:sz w:val="16"/>
              </w:rPr>
            </w:pPr>
            <w:r>
              <w:rPr>
                <w:rFonts w:ascii="Arial;sans-serif" w:hAnsi="Arial;sans-serif"/>
                <w:b/>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25,761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28,352</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Commitments and Contingencies (Note 12)</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Stockholders’ Equity:</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692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Common stock, $0.00001</w:t>
            </w:r>
            <w:r>
              <w:rPr>
                <w:rFonts w:ascii="Times New Roman" w:hAnsi="Times New Roman"/>
                <w:sz w:val="20"/>
              </w:rPr>
              <w:t> </w:t>
            </w:r>
            <w:r>
              <w:rPr>
                <w:rFonts w:ascii="Arial;sans-serif" w:hAnsi="Arial;sans-serif"/>
                <w:b w:val="false"/>
                <w:sz w:val="16"/>
              </w:rPr>
              <w:t>par value, 150,000,000</w:t>
            </w:r>
            <w:r>
              <w:rPr>
                <w:rFonts w:ascii="Times New Roman" w:hAnsi="Times New Roman"/>
                <w:sz w:val="20"/>
              </w:rPr>
              <w:t> </w:t>
            </w:r>
            <w:r>
              <w:rPr>
                <w:rFonts w:ascii="Arial;sans-serif" w:hAnsi="Arial;sans-serif"/>
                <w:b w:val="false"/>
                <w:sz w:val="16"/>
              </w:rPr>
              <w:t>authorized at March 31, 2023 and December 31, 2022, and 37,800,102</w:t>
            </w:r>
            <w:r>
              <w:rPr>
                <w:rFonts w:ascii="Times New Roman" w:hAnsi="Times New Roman"/>
                <w:sz w:val="20"/>
              </w:rPr>
              <w:t> </w:t>
            </w:r>
            <w:r>
              <w:rPr>
                <w:rFonts w:ascii="Arial;sans-serif" w:hAnsi="Arial;sans-serif"/>
                <w:b w:val="false"/>
                <w:sz w:val="16"/>
              </w:rPr>
              <w:t>and 37,771,918</w:t>
            </w:r>
            <w:r>
              <w:rPr>
                <w:rFonts w:ascii="Times New Roman" w:hAnsi="Times New Roman"/>
                <w:sz w:val="20"/>
              </w:rPr>
              <w:t> </w:t>
            </w:r>
            <w:r>
              <w:rPr>
                <w:rFonts w:ascii="Arial;sans-serif" w:hAnsi="Arial;sans-serif"/>
                <w:b w:val="false"/>
                <w:sz w:val="16"/>
              </w:rPr>
              <w:t>shares issued and outstanding at March 31,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408,669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406,555</w:t>
            </w:r>
          </w:p>
        </w:tc>
        <w:tc>
          <w:tcPr>
            <w:tcW w:w="592" w:type="dxa"/>
            <w:tcBorders/>
            <w:vAlign w:val="center"/>
          </w:tcPr>
          <w:p>
            <w:pPr>
              <w:pStyle w:val="TableContents"/>
              <w:bidi w:val="0"/>
              <w:spacing w:before="0" w:after="0"/>
              <w:ind w:left="0" w:right="0" w:hanging="0"/>
              <w:jc w:val="left"/>
              <w:rPr/>
            </w:pPr>
            <w:r>
              <w:rPr/>
              <w:t> </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Accumulated deficit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(228,366</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(210,900</w:t>
            </w:r>
          </w:p>
        </w:tc>
        <w:tc>
          <w:tcPr>
            <w:tcW w:w="592"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692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(72</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6921" w:type="dxa"/>
            <w:tcBorders/>
            <w:vAlign w:val="center"/>
          </w:tcPr>
          <w:p>
            <w:pPr>
              <w:pStyle w:val="TableContents"/>
              <w:bidi w:val="0"/>
              <w:spacing w:before="0" w:after="0"/>
              <w:ind w:left="200" w:right="0" w:hanging="0"/>
              <w:jc w:val="left"/>
              <w:rPr>
                <w:rFonts w:ascii="Arial;sans-serif" w:hAnsi="Arial;sans-serif"/>
                <w:b/>
                <w:sz w:val="16"/>
              </w:rPr>
            </w:pPr>
            <w:r>
              <w:rPr>
                <w:rFonts w:ascii="Arial;sans-serif" w:hAnsi="Arial;sans-serif"/>
                <w:b/>
                <w:sz w:val="16"/>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180,258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195,583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921" w:type="dxa"/>
            <w:tcBorders/>
            <w:vAlign w:val="center"/>
          </w:tcPr>
          <w:p>
            <w:pPr>
              <w:pStyle w:val="TableContents"/>
              <w:bidi w:val="0"/>
              <w:spacing w:before="0" w:after="0"/>
              <w:ind w:left="400" w:right="0" w:hanging="0"/>
              <w:jc w:val="left"/>
              <w:rPr>
                <w:rFonts w:ascii="Arial;sans-serif" w:hAnsi="Arial;sans-serif"/>
                <w:b/>
                <w:sz w:val="16"/>
              </w:rPr>
            </w:pPr>
            <w:r>
              <w:rPr>
                <w:rFonts w:ascii="Arial;sans-serif" w:hAnsi="Arial;sans-serif"/>
                <w:b/>
                <w:sz w:val="16"/>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206,019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223,935</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val="false"/>
          <w:i/>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sans-serif" w:hAnsi="Arial;sans-serif"/>
          <w:b/>
          <w:sz w:val="20"/>
        </w:rPr>
      </w:pPr>
      <w:r>
        <w:rPr>
          <w:rFonts w:ascii="Arial;sans-serif" w:hAnsi="Arial;sans-serif"/>
          <w:b/>
          <w:sz w:val="20"/>
        </w:rPr>
        <w:t>Aura Biosciences, Inc.</w:t>
      </w:r>
    </w:p>
    <w:p>
      <w:pPr>
        <w:pStyle w:val="TextBody"/>
        <w:bidi w:val="0"/>
        <w:spacing w:before="240" w:after="0"/>
        <w:jc w:val="center"/>
        <w:rPr>
          <w:rFonts w:ascii="Times New Roman" w:hAnsi="Times New Roman"/>
          <w:sz w:val="20"/>
        </w:rPr>
      </w:pPr>
      <w:bookmarkStart w:id="7" w:name="condensed_statements_of_operations_and_c"/>
      <w:bookmarkEnd w:id="7"/>
      <w:r>
        <w:rPr>
          <w:rFonts w:ascii="Arial;sans-serif" w:hAnsi="Arial;sans-serif"/>
          <w:b/>
          <w:sz w:val="20"/>
        </w:rPr>
        <w:t>Condensed Consolidated Statements of Operations and Comprehensive Loss</w:t>
      </w:r>
      <w:r>
        <w:rPr>
          <w:rFonts w:ascii="Times New Roman" w:hAnsi="Times New Roman"/>
          <w:sz w:val="20"/>
        </w:rPr>
        <w:t xml:space="preserve"> </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center"/>
        <w:rPr>
          <w:rFonts w:ascii="Arial;sans-serif" w:hAnsi="Arial;sans-serif"/>
          <w:b/>
          <w:sz w:val="20"/>
        </w:rPr>
      </w:pPr>
      <w:r>
        <w:rPr>
          <w:rFonts w:ascii="Arial;sans-serif" w:hAnsi="Arial;sans-serif"/>
          <w:b/>
          <w:sz w:val="20"/>
        </w:rPr>
        <w:t>(in thousands, except share and per share data)</w:t>
      </w:r>
    </w:p>
    <w:p>
      <w:pPr>
        <w:pStyle w:val="TextBody"/>
        <w:bidi w:val="0"/>
        <w:spacing w:before="0" w:after="0"/>
        <w:jc w:val="left"/>
        <w:rPr/>
      </w:pPr>
      <w:r>
        <w:rPr/>
        <w:t> </w:t>
      </w:r>
    </w:p>
    <w:tbl>
      <w:tblPr>
        <w:tblW w:w="9264" w:type="dxa"/>
        <w:jc w:val="left"/>
        <w:tblInd w:w="0" w:type="dxa"/>
        <w:tblLayout w:type="fixed"/>
        <w:tblCellMar>
          <w:top w:w="28" w:type="dxa"/>
          <w:left w:w="28" w:type="dxa"/>
          <w:bottom w:w="28" w:type="dxa"/>
          <w:right w:w="28" w:type="dxa"/>
        </w:tblCellMar>
      </w:tblPr>
      <w:tblGrid>
        <w:gridCol w:w="5761"/>
        <w:gridCol w:w="146"/>
        <w:gridCol w:w="211"/>
        <w:gridCol w:w="1066"/>
        <w:gridCol w:w="166"/>
        <w:gridCol w:w="146"/>
        <w:gridCol w:w="211"/>
        <w:gridCol w:w="1066"/>
        <w:gridCol w:w="49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8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57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8,276</w:t>
            </w:r>
          </w:p>
        </w:tc>
        <w:tc>
          <w:tcPr>
            <w:tcW w:w="491" w:type="dxa"/>
            <w:tcBorders/>
            <w:vAlign w:val="center"/>
          </w:tcPr>
          <w:p>
            <w:pPr>
              <w:pStyle w:val="TableContents"/>
              <w:bidi w:val="0"/>
              <w:spacing w:before="0" w:after="0"/>
              <w:ind w:left="0" w:right="0" w:firstLine="280"/>
              <w:jc w:val="left"/>
              <w:rPr/>
            </w:pPr>
            <w:r>
              <w:rPr/>
              <w:t> </w:t>
            </w:r>
          </w:p>
        </w:tc>
      </w:tr>
      <w:tr>
        <w:trPr/>
        <w:tc>
          <w:tcPr>
            <w:tcW w:w="57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4,535</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57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19,444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12,811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(19,444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(12,811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57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income, including amortization and accretion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491" w:type="dxa"/>
            <w:tcBorders/>
            <w:vAlign w:val="center"/>
          </w:tcPr>
          <w:p>
            <w:pPr>
              <w:pStyle w:val="TableContents"/>
              <w:bidi w:val="0"/>
              <w:spacing w:before="0" w:after="0"/>
              <w:ind w:left="0" w:right="0" w:firstLine="280"/>
              <w:jc w:val="left"/>
              <w:rPr/>
            </w:pPr>
            <w:r>
              <w:rPr/>
              <w:t> </w:t>
            </w:r>
          </w:p>
        </w:tc>
      </w:tr>
      <w:tr>
        <w:trPr/>
        <w:tc>
          <w:tcPr>
            <w:tcW w:w="57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Loss on disposal of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other income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(17,466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(12,835</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 per common share—basic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(0.44</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 average common stock outstanding—basic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37,784,282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29,213,632</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(17,466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(12,835</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comprehensive items:</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80"/>
              <w:jc w:val="right"/>
              <w:rPr/>
            </w:pPr>
            <w:r>
              <w:rPr/>
              <w:t> </w:t>
            </w:r>
          </w:p>
        </w:tc>
      </w:tr>
      <w:tr>
        <w:trPr/>
        <w:tc>
          <w:tcPr>
            <w:tcW w:w="576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Unrealized gain (loss) on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other comprehensive gain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(17,439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(12,840</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Aura Biosciences, Inc.</w:t>
      </w:r>
    </w:p>
    <w:p>
      <w:pPr>
        <w:pStyle w:val="TextBody"/>
        <w:bidi w:val="0"/>
        <w:spacing w:before="240" w:after="0"/>
        <w:jc w:val="center"/>
        <w:rPr>
          <w:rFonts w:ascii="Times New Roman" w:hAnsi="Times New Roman"/>
          <w:sz w:val="20"/>
        </w:rPr>
      </w:pPr>
      <w:bookmarkStart w:id="8" w:name="condensed_statements_of_convertible_pref"/>
      <w:bookmarkEnd w:id="8"/>
      <w:r>
        <w:rPr>
          <w:rFonts w:ascii="Arial;sans-serif" w:hAnsi="Arial;sans-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center"/>
        <w:rPr>
          <w:rFonts w:ascii="Arial;sans-serif" w:hAnsi="Arial;sans-serif"/>
          <w:b/>
          <w:sz w:val="20"/>
        </w:rPr>
      </w:pPr>
      <w:r>
        <w:rPr>
          <w:rFonts w:ascii="Arial;sans-serif" w:hAnsi="Arial;sans-serif"/>
          <w:b/>
          <w:sz w:val="20"/>
        </w:rPr>
        <w:t>(in thousands, except share data)</w:t>
      </w:r>
    </w:p>
    <w:p>
      <w:pPr>
        <w:pStyle w:val="TextBody"/>
        <w:bidi w:val="0"/>
        <w:spacing w:before="0" w:after="0"/>
        <w:jc w:val="left"/>
        <w:rPr/>
      </w:pPr>
      <w:r>
        <w:rPr/>
        <w:t> </w:t>
      </w:r>
    </w:p>
    <w:tbl>
      <w:tblPr>
        <w:tblW w:w="6234" w:type="dxa"/>
        <w:jc w:val="left"/>
        <w:tblInd w:w="0" w:type="dxa"/>
        <w:tblLayout w:type="fixed"/>
        <w:tblCellMar>
          <w:top w:w="28" w:type="dxa"/>
          <w:left w:w="28" w:type="dxa"/>
          <w:bottom w:w="28" w:type="dxa"/>
          <w:right w:w="28" w:type="dxa"/>
        </w:tblCellMar>
      </w:tblPr>
      <w:tblGrid>
        <w:gridCol w:w="1546"/>
        <w:gridCol w:w="146"/>
        <w:gridCol w:w="496"/>
        <w:gridCol w:w="146"/>
        <w:gridCol w:w="151"/>
        <w:gridCol w:w="346"/>
        <w:gridCol w:w="146"/>
        <w:gridCol w:w="151"/>
        <w:gridCol w:w="391"/>
        <w:gridCol w:w="146"/>
        <w:gridCol w:w="154"/>
        <w:gridCol w:w="432"/>
        <w:gridCol w:w="146"/>
        <w:gridCol w:w="273"/>
        <w:gridCol w:w="627"/>
        <w:gridCol w:w="146"/>
        <w:gridCol w:w="167"/>
        <w:gridCol w:w="433"/>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283"/>
              <w:ind w:left="0" w:right="0" w:hanging="0"/>
              <w:jc w:val="left"/>
              <w:rPr>
                <w:sz w:val="4"/>
                <w:szCs w:val="4"/>
              </w:rPr>
            </w:pPr>
            <w:r>
              <w:rPr>
                <w:sz w:val="4"/>
                <w:szCs w:val="4"/>
              </w:rPr>
            </w:r>
          </w:p>
        </w:tc>
        <w:tc>
          <w:tcPr>
            <w:tcW w:w="6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Additional</w:t>
            </w:r>
          </w:p>
        </w:tc>
        <w:tc>
          <w:tcPr>
            <w:tcW w:w="146" w:type="dxa"/>
            <w:tcBorders/>
            <w:vAlign w:val="center"/>
          </w:tcPr>
          <w:p>
            <w:pPr>
              <w:pStyle w:val="TableContents"/>
              <w:bidi w:val="0"/>
              <w:spacing w:before="0" w:after="0"/>
              <w:ind w:left="0" w:right="0" w:hanging="0"/>
              <w:jc w:val="center"/>
              <w:rPr/>
            </w:pPr>
            <w:r>
              <w:rPr/>
              <w:t> </w:t>
            </w:r>
          </w:p>
        </w:tc>
        <w:tc>
          <w:tcPr>
            <w:tcW w:w="58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Accumulated</w:t>
            </w:r>
          </w:p>
        </w:tc>
        <w:tc>
          <w:tcPr>
            <w:tcW w:w="146" w:type="dxa"/>
            <w:tcBorders/>
            <w:vAlign w:val="center"/>
          </w:tcPr>
          <w:p>
            <w:pPr>
              <w:pStyle w:val="TableContents"/>
              <w:bidi w:val="0"/>
              <w:spacing w:before="0" w:after="0"/>
              <w:ind w:left="0" w:right="0" w:hanging="0"/>
              <w:jc w:val="center"/>
              <w:rPr/>
            </w:pPr>
            <w:r>
              <w:rPr/>
              <w:t> </w:t>
            </w:r>
          </w:p>
        </w:tc>
        <w:tc>
          <w:tcPr>
            <w:tcW w:w="600"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Total</w:t>
            </w:r>
          </w:p>
        </w:tc>
        <w:tc>
          <w:tcPr>
            <w:tcW w:w="19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283"/>
              <w:ind w:left="0" w:right="0" w:hanging="0"/>
              <w:jc w:val="left"/>
              <w:rPr>
                <w:sz w:val="4"/>
                <w:szCs w:val="4"/>
              </w:rPr>
            </w:pPr>
            <w:r>
              <w:rPr>
                <w:sz w:val="4"/>
                <w:szCs w:val="4"/>
              </w:rPr>
            </w:r>
          </w:p>
        </w:tc>
        <w:tc>
          <w:tcPr>
            <w:tcW w:w="1285"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Paid-In</w:t>
            </w:r>
          </w:p>
        </w:tc>
        <w:tc>
          <w:tcPr>
            <w:tcW w:w="146" w:type="dxa"/>
            <w:tcBorders/>
            <w:vAlign w:val="center"/>
          </w:tcPr>
          <w:p>
            <w:pPr>
              <w:pStyle w:val="TableContents"/>
              <w:bidi w:val="0"/>
              <w:spacing w:before="0" w:after="0"/>
              <w:ind w:left="0" w:right="0" w:hanging="0"/>
              <w:jc w:val="center"/>
              <w:rPr/>
            </w:pPr>
            <w:r>
              <w:rPr/>
              <w:t> </w:t>
            </w:r>
          </w:p>
        </w:tc>
        <w:tc>
          <w:tcPr>
            <w:tcW w:w="586"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Accumulated</w:t>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Other Comprehensive</w:t>
            </w:r>
          </w:p>
        </w:tc>
        <w:tc>
          <w:tcPr>
            <w:tcW w:w="146" w:type="dxa"/>
            <w:tcBorders/>
            <w:vAlign w:val="center"/>
          </w:tcPr>
          <w:p>
            <w:pPr>
              <w:pStyle w:val="TableContents"/>
              <w:bidi w:val="0"/>
              <w:spacing w:before="0" w:after="0"/>
              <w:ind w:left="0" w:right="0" w:hanging="0"/>
              <w:jc w:val="center"/>
              <w:rPr/>
            </w:pPr>
            <w:r>
              <w:rPr/>
              <w:t> </w:t>
            </w:r>
          </w:p>
        </w:tc>
        <w:tc>
          <w:tcPr>
            <w:tcW w:w="600"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Stockholders’</w:t>
            </w:r>
          </w:p>
        </w:tc>
        <w:tc>
          <w:tcPr>
            <w:tcW w:w="19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Deficit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Loss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Equity</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sz w:val="8"/>
              </w:rPr>
            </w:pPr>
            <w:r>
              <w:rPr>
                <w:rFonts w:ascii="Arial;sans-serif" w:hAnsi="Arial;sans-serif"/>
                <w:b/>
                <w:sz w:val="8"/>
              </w:rPr>
              <w:t>Balance, December 31, 2021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29,211,643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304,452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(152,137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152,315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1,594</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1,594</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Stock option exercises</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5,593</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17</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17</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Unrealized loss on marketable securities</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(5</w:t>
            </w:r>
          </w:p>
        </w:tc>
        <w:tc>
          <w:tcPr>
            <w:tcW w:w="1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167"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(5</w:t>
            </w:r>
          </w:p>
        </w:tc>
        <w:tc>
          <w:tcPr>
            <w:tcW w:w="191"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(12,835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(12,835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r>
      <w:tr>
        <w:trPr/>
        <w:tc>
          <w:tcPr>
            <w:tcW w:w="1546" w:type="dxa"/>
            <w:tcBorders/>
            <w:vAlign w:val="center"/>
          </w:tcPr>
          <w:p>
            <w:pPr>
              <w:pStyle w:val="TableContents"/>
              <w:bidi w:val="0"/>
              <w:spacing w:before="0" w:after="0"/>
              <w:ind w:left="0" w:right="0" w:hanging="0"/>
              <w:jc w:val="left"/>
              <w:rPr>
                <w:rFonts w:ascii="Arial;sans-serif" w:hAnsi="Arial;sans-serif"/>
                <w:b/>
                <w:sz w:val="8"/>
              </w:rPr>
            </w:pPr>
            <w:r>
              <w:rPr>
                <w:rFonts w:ascii="Arial;sans-serif" w:hAnsi="Arial;sans-serif"/>
                <w:b/>
                <w:sz w:val="8"/>
              </w:rPr>
              <w:t>Balance, March 31,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29,217,236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306,063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4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(164,972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6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141,086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5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546" w:type="dxa"/>
            <w:tcBorders/>
            <w:vAlign w:val="center"/>
          </w:tcPr>
          <w:p>
            <w:pPr>
              <w:pStyle w:val="TableContents"/>
              <w:bidi w:val="0"/>
              <w:spacing w:before="0" w:after="283"/>
              <w:ind w:left="0" w:right="0" w:hanging="0"/>
              <w:jc w:val="left"/>
              <w:rPr>
                <w:sz w:val="4"/>
                <w:szCs w:val="4"/>
              </w:rPr>
            </w:pPr>
            <w:r>
              <w:rPr>
                <w:sz w:val="4"/>
                <w:szCs w:val="4"/>
              </w:rPr>
            </w:r>
          </w:p>
        </w:tc>
        <w:tc>
          <w:tcPr>
            <w:tcW w:w="6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Additional</w:t>
            </w:r>
          </w:p>
        </w:tc>
        <w:tc>
          <w:tcPr>
            <w:tcW w:w="146" w:type="dxa"/>
            <w:tcBorders/>
            <w:vAlign w:val="center"/>
          </w:tcPr>
          <w:p>
            <w:pPr>
              <w:pStyle w:val="TableContents"/>
              <w:bidi w:val="0"/>
              <w:spacing w:before="0" w:after="0"/>
              <w:ind w:left="0" w:right="0" w:hanging="0"/>
              <w:jc w:val="center"/>
              <w:rPr/>
            </w:pPr>
            <w:r>
              <w:rPr/>
              <w:t> </w:t>
            </w:r>
          </w:p>
        </w:tc>
        <w:tc>
          <w:tcPr>
            <w:tcW w:w="58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Accumulated</w:t>
            </w:r>
          </w:p>
        </w:tc>
        <w:tc>
          <w:tcPr>
            <w:tcW w:w="146" w:type="dxa"/>
            <w:tcBorders/>
            <w:vAlign w:val="center"/>
          </w:tcPr>
          <w:p>
            <w:pPr>
              <w:pStyle w:val="TableContents"/>
              <w:bidi w:val="0"/>
              <w:spacing w:before="0" w:after="0"/>
              <w:ind w:left="0" w:right="0" w:hanging="0"/>
              <w:jc w:val="center"/>
              <w:rPr/>
            </w:pPr>
            <w:r>
              <w:rPr/>
              <w:t> </w:t>
            </w:r>
          </w:p>
        </w:tc>
        <w:tc>
          <w:tcPr>
            <w:tcW w:w="600"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Total</w:t>
            </w:r>
          </w:p>
        </w:tc>
        <w:tc>
          <w:tcPr>
            <w:tcW w:w="19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283"/>
              <w:ind w:left="0" w:right="0" w:hanging="0"/>
              <w:jc w:val="left"/>
              <w:rPr>
                <w:sz w:val="4"/>
                <w:szCs w:val="4"/>
              </w:rPr>
            </w:pPr>
            <w:r>
              <w:rPr>
                <w:sz w:val="4"/>
                <w:szCs w:val="4"/>
              </w:rPr>
            </w:r>
          </w:p>
        </w:tc>
        <w:tc>
          <w:tcPr>
            <w:tcW w:w="1285"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Paid-In</w:t>
            </w:r>
          </w:p>
        </w:tc>
        <w:tc>
          <w:tcPr>
            <w:tcW w:w="146" w:type="dxa"/>
            <w:tcBorders/>
            <w:vAlign w:val="center"/>
          </w:tcPr>
          <w:p>
            <w:pPr>
              <w:pStyle w:val="TableContents"/>
              <w:bidi w:val="0"/>
              <w:spacing w:before="0" w:after="0"/>
              <w:ind w:left="0" w:right="0" w:hanging="0"/>
              <w:jc w:val="center"/>
              <w:rPr/>
            </w:pPr>
            <w:r>
              <w:rPr/>
              <w:t> </w:t>
            </w:r>
          </w:p>
        </w:tc>
        <w:tc>
          <w:tcPr>
            <w:tcW w:w="586"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Accumulated</w:t>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Other Comprehensive</w:t>
            </w:r>
          </w:p>
        </w:tc>
        <w:tc>
          <w:tcPr>
            <w:tcW w:w="146" w:type="dxa"/>
            <w:tcBorders/>
            <w:vAlign w:val="center"/>
          </w:tcPr>
          <w:p>
            <w:pPr>
              <w:pStyle w:val="TableContents"/>
              <w:bidi w:val="0"/>
              <w:spacing w:before="0" w:after="0"/>
              <w:ind w:left="0" w:right="0" w:hanging="0"/>
              <w:jc w:val="center"/>
              <w:rPr/>
            </w:pPr>
            <w:r>
              <w:rPr/>
              <w:t> </w:t>
            </w:r>
          </w:p>
        </w:tc>
        <w:tc>
          <w:tcPr>
            <w:tcW w:w="600" w:type="dxa"/>
            <w:gridSpan w:val="2"/>
            <w:tcBorders/>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Stockholders’</w:t>
            </w:r>
          </w:p>
        </w:tc>
        <w:tc>
          <w:tcPr>
            <w:tcW w:w="19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Deficit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Loss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8"/>
              </w:rPr>
            </w:pPr>
            <w:r>
              <w:rPr>
                <w:rFonts w:ascii="Arial;sans-serif" w:hAnsi="Arial;sans-serif"/>
                <w:b/>
                <w:sz w:val="8"/>
              </w:rPr>
              <w:t>Equity</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sz w:val="8"/>
              </w:rPr>
            </w:pPr>
            <w:r>
              <w:rPr>
                <w:rFonts w:ascii="Arial;sans-serif" w:hAnsi="Arial;sans-serif"/>
                <w:b/>
                <w:sz w:val="8"/>
              </w:rPr>
              <w:t>Balance, December 31,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37,771,918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406,555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(210,900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195,583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1,913</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1,913</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Employee Stock Purchase Plan Issuance</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6,635</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56</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56</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Stock option exercises</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21,549</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145</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145</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Unrealized gain on marketable securities</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4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27</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27</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(17,466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(17,466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r>
      <w:tr>
        <w:trPr/>
        <w:tc>
          <w:tcPr>
            <w:tcW w:w="1546" w:type="dxa"/>
            <w:tcBorders/>
            <w:vAlign w:val="center"/>
          </w:tcPr>
          <w:p>
            <w:pPr>
              <w:pStyle w:val="TableContents"/>
              <w:bidi w:val="0"/>
              <w:spacing w:before="0" w:after="0"/>
              <w:ind w:left="0" w:right="0" w:hanging="0"/>
              <w:jc w:val="left"/>
              <w:rPr>
                <w:rFonts w:ascii="Arial;sans-serif" w:hAnsi="Arial;sans-serif"/>
                <w:b/>
                <w:sz w:val="8"/>
              </w:rPr>
            </w:pPr>
            <w:r>
              <w:rPr>
                <w:rFonts w:ascii="Arial;sans-serif" w:hAnsi="Arial;sans-serif"/>
                <w:b/>
                <w:sz w:val="8"/>
              </w:rPr>
              <w:t>Balance, March 31,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37,800,102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408,669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4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(228,366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6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8"/>
              </w:rPr>
            </w:pPr>
            <w:r>
              <w:rPr>
                <w:rFonts w:ascii="Arial;sans-serif" w:hAnsi="Arial;sans-serif"/>
                <w:b w:val="false"/>
                <w:sz w:val="8"/>
              </w:rPr>
              <w:t>$</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8"/>
              </w:rPr>
            </w:pPr>
            <w:r>
              <w:rPr>
                <w:rFonts w:ascii="Arial;sans-serif" w:hAnsi="Arial;sans-serif"/>
                <w:b w:val="false"/>
                <w:sz w:val="8"/>
              </w:rPr>
              <w:t>180,258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Aura Biosciences, Inc.</w:t>
      </w:r>
    </w:p>
    <w:p>
      <w:pPr>
        <w:pStyle w:val="TextBody"/>
        <w:bidi w:val="0"/>
        <w:spacing w:before="240" w:after="0"/>
        <w:jc w:val="center"/>
        <w:rPr>
          <w:rFonts w:ascii="Times New Roman" w:hAnsi="Times New Roman"/>
          <w:sz w:val="20"/>
        </w:rPr>
      </w:pPr>
      <w:bookmarkStart w:id="9" w:name="condensed_statements_of_cash_flows_unaud"/>
      <w:bookmarkEnd w:id="9"/>
      <w:r>
        <w:rPr>
          <w:rFonts w:ascii="Arial;sans-serif" w:hAnsi="Arial;sans-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center"/>
        <w:rPr>
          <w:rFonts w:ascii="Arial;sans-serif" w:hAnsi="Arial;sans-serif"/>
          <w:b/>
          <w:sz w:val="20"/>
        </w:rPr>
      </w:pPr>
      <w:r>
        <w:rPr>
          <w:rFonts w:ascii="Arial;sans-serif" w:hAnsi="Arial;sans-serif"/>
          <w:b/>
          <w:sz w:val="20"/>
        </w:rPr>
        <w:t>(in thousands)</w:t>
      </w:r>
    </w:p>
    <w:tbl>
      <w:tblPr>
        <w:tblW w:w="10205" w:type="dxa"/>
        <w:jc w:val="left"/>
        <w:tblInd w:w="0" w:type="dxa"/>
        <w:tblLayout w:type="fixed"/>
        <w:tblCellMar>
          <w:top w:w="28" w:type="dxa"/>
          <w:left w:w="28" w:type="dxa"/>
          <w:bottom w:w="28" w:type="dxa"/>
          <w:right w:w="28" w:type="dxa"/>
        </w:tblCellMar>
      </w:tblPr>
      <w:tblGrid>
        <w:gridCol w:w="5983"/>
        <w:gridCol w:w="187"/>
        <w:gridCol w:w="270"/>
        <w:gridCol w:w="1021"/>
        <w:gridCol w:w="212"/>
        <w:gridCol w:w="187"/>
        <w:gridCol w:w="270"/>
        <w:gridCol w:w="1021"/>
        <w:gridCol w:w="1054"/>
      </w:tblGrid>
      <w:tr>
        <w:trPr/>
        <w:tc>
          <w:tcPr>
            <w:tcW w:w="59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5983" w:type="dxa"/>
            <w:tcBorders/>
            <w:vAlign w:val="center"/>
          </w:tcPr>
          <w:p>
            <w:pPr>
              <w:pStyle w:val="TableContents"/>
              <w:bidi w:val="0"/>
              <w:spacing w:before="0" w:after="283"/>
              <w:ind w:left="0" w:right="0" w:hanging="0"/>
              <w:jc w:val="left"/>
              <w:rPr>
                <w:sz w:val="4"/>
                <w:szCs w:val="4"/>
              </w:rPr>
            </w:pPr>
            <w:r>
              <w:rPr>
                <w:sz w:val="4"/>
                <w:szCs w:val="4"/>
              </w:rPr>
            </w:r>
          </w:p>
        </w:tc>
        <w:tc>
          <w:tcPr>
            <w:tcW w:w="187" w:type="dxa"/>
            <w:tcBorders/>
            <w:vAlign w:val="center"/>
          </w:tcPr>
          <w:p>
            <w:pPr>
              <w:pStyle w:val="TableContents"/>
              <w:bidi w:val="0"/>
              <w:spacing w:before="0" w:after="0"/>
              <w:ind w:left="0" w:right="0" w:hanging="0"/>
              <w:jc w:val="center"/>
              <w:rPr/>
            </w:pPr>
            <w:r>
              <w:rPr/>
              <w:t> </w:t>
            </w:r>
          </w:p>
        </w:tc>
        <w:tc>
          <w:tcPr>
            <w:tcW w:w="2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83" w:type="dxa"/>
            <w:tcBorders/>
            <w:vAlign w:val="center"/>
          </w:tcPr>
          <w:p>
            <w:pPr>
              <w:pStyle w:val="TableContents"/>
              <w:bidi w:val="0"/>
              <w:spacing w:before="0" w:after="283"/>
              <w:ind w:left="0" w:right="0" w:hanging="0"/>
              <w:jc w:val="left"/>
              <w:rPr>
                <w:sz w:val="4"/>
                <w:szCs w:val="4"/>
              </w:rPr>
            </w:pPr>
            <w:r>
              <w:rPr>
                <w:sz w:val="4"/>
                <w:szCs w:val="4"/>
              </w:rPr>
            </w:r>
          </w:p>
        </w:tc>
        <w:tc>
          <w:tcPr>
            <w:tcW w:w="187" w:type="dxa"/>
            <w:tcBorders/>
            <w:vAlign w:val="center"/>
          </w:tcPr>
          <w:p>
            <w:pPr>
              <w:pStyle w:val="TableContents"/>
              <w:bidi w:val="0"/>
              <w:spacing w:before="0" w:after="0"/>
              <w:ind w:left="0" w:right="0" w:hanging="0"/>
              <w:jc w:val="center"/>
              <w:rPr/>
            </w:pPr>
            <w:r>
              <w:rPr/>
              <w:t> </w:t>
            </w:r>
          </w:p>
        </w:tc>
        <w:tc>
          <w:tcPr>
            <w:tcW w:w="12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 w:type="dxa"/>
            <w:tcBorders/>
            <w:vAlign w:val="center"/>
          </w:tcPr>
          <w:p>
            <w:pPr>
              <w:pStyle w:val="TableContents"/>
              <w:bidi w:val="0"/>
              <w:spacing w:before="0" w:after="0"/>
              <w:ind w:left="0" w:right="0" w:hanging="0"/>
              <w:jc w:val="center"/>
              <w:rPr/>
            </w:pPr>
            <w:r>
              <w:rPr/>
              <w:t> </w:t>
            </w:r>
          </w:p>
        </w:tc>
        <w:tc>
          <w:tcPr>
            <w:tcW w:w="12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flows from operating activities:</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054" w:type="dxa"/>
            <w:tcBorders/>
            <w:vAlign w:val="center"/>
          </w:tcPr>
          <w:p>
            <w:pPr>
              <w:pStyle w:val="TableContents"/>
              <w:bidi w:val="0"/>
              <w:spacing w:before="0" w:after="0"/>
              <w:ind w:left="0" w:right="0" w:hanging="0"/>
              <w:jc w:val="righ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(17,466</w:t>
            </w:r>
          </w:p>
        </w:tc>
        <w:tc>
          <w:tcPr>
            <w:tcW w:w="2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(12,835</w:t>
            </w:r>
          </w:p>
        </w:tc>
        <w:tc>
          <w:tcPr>
            <w:tcW w:w="105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Adjustments to reconcile net loss to net cash used in operating activities:</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054" w:type="dxa"/>
            <w:tcBorders/>
            <w:vAlign w:val="center"/>
          </w:tcPr>
          <w:p>
            <w:pPr>
              <w:pStyle w:val="TableContents"/>
              <w:bidi w:val="0"/>
              <w:spacing w:before="0" w:after="0"/>
              <w:ind w:left="0" w:right="0" w:firstLine="280"/>
              <w:jc w:val="right"/>
              <w:rPr/>
            </w:pPr>
            <w:r>
              <w:rPr/>
              <w:t> </w:t>
            </w:r>
          </w:p>
        </w:tc>
      </w:tr>
      <w:tr>
        <w:trPr/>
        <w:tc>
          <w:tcPr>
            <w:tcW w:w="598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Depreciation expense</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328</w:t>
            </w:r>
          </w:p>
        </w:tc>
        <w:tc>
          <w:tcPr>
            <w:tcW w:w="212"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256</w:t>
            </w:r>
          </w:p>
        </w:tc>
        <w:tc>
          <w:tcPr>
            <w:tcW w:w="1054" w:type="dxa"/>
            <w:tcBorders/>
            <w:vAlign w:val="center"/>
          </w:tcPr>
          <w:p>
            <w:pPr>
              <w:pStyle w:val="TableContents"/>
              <w:bidi w:val="0"/>
              <w:spacing w:before="0" w:after="0"/>
              <w:ind w:left="0" w:right="0" w:firstLine="280"/>
              <w:jc w:val="left"/>
              <w:rPr/>
            </w:pPr>
            <w:r>
              <w:rPr/>
              <w:t> </w:t>
            </w:r>
          </w:p>
        </w:tc>
      </w:tr>
      <w:tr>
        <w:trPr/>
        <w:tc>
          <w:tcPr>
            <w:tcW w:w="598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Stock-based compensation expense</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1,913</w:t>
            </w:r>
          </w:p>
        </w:tc>
        <w:tc>
          <w:tcPr>
            <w:tcW w:w="212"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1,594</w:t>
            </w:r>
          </w:p>
        </w:tc>
        <w:tc>
          <w:tcPr>
            <w:tcW w:w="1054" w:type="dxa"/>
            <w:tcBorders/>
            <w:vAlign w:val="center"/>
          </w:tcPr>
          <w:p>
            <w:pPr>
              <w:pStyle w:val="TableContents"/>
              <w:bidi w:val="0"/>
              <w:spacing w:before="0" w:after="0"/>
              <w:ind w:left="0" w:right="0" w:firstLine="280"/>
              <w:jc w:val="left"/>
              <w:rPr/>
            </w:pPr>
            <w:r>
              <w:rPr/>
              <w:t> </w:t>
            </w:r>
          </w:p>
        </w:tc>
      </w:tr>
      <w:tr>
        <w:trPr/>
        <w:tc>
          <w:tcPr>
            <w:tcW w:w="598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Accretion on marketable securities</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(1,004</w:t>
            </w:r>
          </w:p>
        </w:tc>
        <w:tc>
          <w:tcPr>
            <w:tcW w:w="2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054"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Loss on disposal of property and equipment</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054"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w:t>
            </w:r>
          </w:p>
        </w:tc>
        <w:tc>
          <w:tcPr>
            <w:tcW w:w="212"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w:t>
            </w:r>
          </w:p>
        </w:tc>
        <w:tc>
          <w:tcPr>
            <w:tcW w:w="1054" w:type="dxa"/>
            <w:tcBorders/>
            <w:vAlign w:val="center"/>
          </w:tcPr>
          <w:p>
            <w:pPr>
              <w:pStyle w:val="TableContents"/>
              <w:bidi w:val="0"/>
              <w:spacing w:before="0" w:after="0"/>
              <w:ind w:left="0" w:right="0" w:firstLine="280"/>
              <w:jc w:val="left"/>
              <w:rPr/>
            </w:pPr>
            <w:r>
              <w:rPr/>
              <w:t> </w:t>
            </w:r>
          </w:p>
        </w:tc>
      </w:tr>
      <w:tr>
        <w:trPr/>
        <w:tc>
          <w:tcPr>
            <w:tcW w:w="598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Changes in operating assets and liabilities:</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054" w:type="dxa"/>
            <w:tcBorders/>
            <w:vAlign w:val="center"/>
          </w:tcPr>
          <w:p>
            <w:pPr>
              <w:pStyle w:val="TableContents"/>
              <w:bidi w:val="0"/>
              <w:spacing w:before="0" w:after="0"/>
              <w:ind w:left="0" w:right="0" w:firstLine="840"/>
              <w:jc w:val="right"/>
              <w:rPr/>
            </w:pPr>
            <w:r>
              <w:rPr/>
              <w:t> </w:t>
            </w:r>
          </w:p>
        </w:tc>
      </w:tr>
      <w:tr>
        <w:trPr/>
        <w:tc>
          <w:tcPr>
            <w:tcW w:w="5983"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Prepaid expenses and other assets</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2,292</w:t>
            </w:r>
          </w:p>
        </w:tc>
        <w:tc>
          <w:tcPr>
            <w:tcW w:w="212"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(1,660</w:t>
            </w:r>
          </w:p>
        </w:tc>
        <w:tc>
          <w:tcPr>
            <w:tcW w:w="1054" w:type="dxa"/>
            <w:tcBorders/>
            <w:vAlign w:val="center"/>
          </w:tcPr>
          <w:p>
            <w:pPr>
              <w:pStyle w:val="TableContents"/>
              <w:bidi w:val="0"/>
              <w:spacing w:before="0" w:after="0"/>
              <w:ind w:left="0" w:right="0" w:firstLine="84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Other long-term assets</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(200</w:t>
            </w:r>
          </w:p>
        </w:tc>
        <w:tc>
          <w:tcPr>
            <w:tcW w:w="2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c>
          <w:tcPr>
            <w:tcW w:w="1054" w:type="dxa"/>
            <w:tcBorders/>
            <w:vAlign w:val="center"/>
          </w:tcPr>
          <w:p>
            <w:pPr>
              <w:pStyle w:val="TableContents"/>
              <w:bidi w:val="0"/>
              <w:spacing w:before="0" w:after="0"/>
              <w:ind w:left="0" w:right="0" w:firstLine="840"/>
              <w:jc w:val="left"/>
              <w:rPr/>
            </w:pPr>
            <w:r>
              <w:rPr/>
              <w:t> </w:t>
            </w:r>
          </w:p>
        </w:tc>
      </w:tr>
      <w:tr>
        <w:trPr/>
        <w:tc>
          <w:tcPr>
            <w:tcW w:w="5983"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Accounts payable</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(1,881</w:t>
            </w:r>
          </w:p>
        </w:tc>
        <w:tc>
          <w:tcPr>
            <w:tcW w:w="2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(757</w:t>
            </w:r>
          </w:p>
        </w:tc>
        <w:tc>
          <w:tcPr>
            <w:tcW w:w="1054" w:type="dxa"/>
            <w:tcBorders/>
            <w:vAlign w:val="center"/>
          </w:tcPr>
          <w:p>
            <w:pPr>
              <w:pStyle w:val="TableContents"/>
              <w:bidi w:val="0"/>
              <w:spacing w:before="0" w:after="0"/>
              <w:ind w:left="0" w:right="0" w:firstLine="84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Accrued expenses and other liabilities</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(506</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(1,834</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560" w:right="0" w:hanging="0"/>
              <w:jc w:val="left"/>
              <w:rPr>
                <w:rFonts w:ascii="Arial;sans-serif" w:hAnsi="Arial;sans-serif"/>
                <w:b/>
                <w:sz w:val="20"/>
              </w:rPr>
            </w:pPr>
            <w:r>
              <w:rPr>
                <w:rFonts w:ascii="Arial;sans-serif" w:hAnsi="Arial;sans-serif"/>
                <w:b/>
                <w:sz w:val="20"/>
              </w:rPr>
              <w:t>Net cash used in operating activities</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(16,412</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(15,200</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flows from investing activities:</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054" w:type="dxa"/>
            <w:tcBorders/>
            <w:vAlign w:val="center"/>
          </w:tcPr>
          <w:p>
            <w:pPr>
              <w:pStyle w:val="TableContents"/>
              <w:bidi w:val="0"/>
              <w:spacing w:before="0" w:after="0"/>
              <w:ind w:left="0" w:right="0" w:hanging="0"/>
              <w:jc w:val="righ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Purchases of property and equipment</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w:t>
            </w:r>
          </w:p>
        </w:tc>
        <w:tc>
          <w:tcPr>
            <w:tcW w:w="2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(599</w:t>
            </w:r>
          </w:p>
        </w:tc>
        <w:tc>
          <w:tcPr>
            <w:tcW w:w="105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Purchase of marketable securities</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(88,847</w:t>
            </w:r>
          </w:p>
        </w:tc>
        <w:tc>
          <w:tcPr>
            <w:tcW w:w="2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(24,899</w:t>
            </w:r>
          </w:p>
        </w:tc>
        <w:tc>
          <w:tcPr>
            <w:tcW w:w="105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Maturities and proceeds from the sale of marketable securities</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22,077</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983" w:type="dxa"/>
            <w:tcBorders/>
            <w:vAlign w:val="center"/>
          </w:tcPr>
          <w:p>
            <w:pPr>
              <w:pStyle w:val="TableContents"/>
              <w:bidi w:val="0"/>
              <w:spacing w:before="0" w:after="0"/>
              <w:ind w:left="560" w:right="0" w:hanging="0"/>
              <w:jc w:val="left"/>
              <w:rPr>
                <w:rFonts w:ascii="Arial;sans-serif" w:hAnsi="Arial;sans-serif"/>
                <w:b/>
                <w:sz w:val="20"/>
              </w:rPr>
            </w:pPr>
            <w:r>
              <w:rPr>
                <w:rFonts w:ascii="Arial;sans-serif" w:hAnsi="Arial;sans-serif"/>
                <w:b/>
                <w:sz w:val="20"/>
              </w:rPr>
              <w:t>Net cash used in investing activities</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(66,879</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(25,498</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flows from financing activities:</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054" w:type="dxa"/>
            <w:tcBorders/>
            <w:vAlign w:val="center"/>
          </w:tcPr>
          <w:p>
            <w:pPr>
              <w:pStyle w:val="TableContents"/>
              <w:bidi w:val="0"/>
              <w:spacing w:before="0" w:after="0"/>
              <w:ind w:left="0" w:right="0" w:hanging="0"/>
              <w:jc w:val="righ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Proceeds from exercise of stock options</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145</w:t>
            </w:r>
          </w:p>
        </w:tc>
        <w:tc>
          <w:tcPr>
            <w:tcW w:w="212"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1054" w:type="dxa"/>
            <w:tcBorders/>
            <w:vAlign w:val="center"/>
          </w:tcPr>
          <w:p>
            <w:pPr>
              <w:pStyle w:val="TableContents"/>
              <w:bidi w:val="0"/>
              <w:spacing w:before="0" w:after="0"/>
              <w:ind w:left="0" w:right="0" w:hanging="0"/>
              <w:jc w:val="lef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Proceeds from ESPP purchase</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983" w:type="dxa"/>
            <w:tcBorders/>
            <w:vAlign w:val="center"/>
          </w:tcPr>
          <w:p>
            <w:pPr>
              <w:pStyle w:val="TableContents"/>
              <w:bidi w:val="0"/>
              <w:spacing w:before="0" w:after="0"/>
              <w:ind w:left="560" w:right="0" w:hanging="0"/>
              <w:jc w:val="left"/>
              <w:rPr>
                <w:rFonts w:ascii="Arial;sans-serif" w:hAnsi="Arial;sans-serif"/>
                <w:b/>
                <w:sz w:val="20"/>
              </w:rPr>
            </w:pPr>
            <w:r>
              <w:rPr>
                <w:rFonts w:ascii="Arial;sans-serif" w:hAnsi="Arial;sans-serif"/>
                <w:b/>
                <w:sz w:val="20"/>
              </w:rPr>
              <w:t>Net cash provided by financing activities</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Net decrease in cash, cash equivalents and restricted cash</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(83,090</w:t>
            </w:r>
          </w:p>
        </w:tc>
        <w:tc>
          <w:tcPr>
            <w:tcW w:w="2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(40,681</w:t>
            </w:r>
          </w:p>
        </w:tc>
        <w:tc>
          <w:tcPr>
            <w:tcW w:w="105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983"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cash equivalents and restricted cash at beginning of period</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122,370</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149,211</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cash equivalents and restricted cash at end of period</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39,280</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108,530</w:t>
            </w:r>
          </w:p>
        </w:tc>
        <w:tc>
          <w:tcPr>
            <w:tcW w:w="10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Supplemental disclosure of cash flow information:</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right"/>
              <w:rPr/>
            </w:pPr>
            <w:r>
              <w:rPr/>
              <w:t> </w:t>
            </w:r>
          </w:p>
        </w:tc>
        <w:tc>
          <w:tcPr>
            <w:tcW w:w="1054" w:type="dxa"/>
            <w:tcBorders/>
            <w:vAlign w:val="center"/>
          </w:tcPr>
          <w:p>
            <w:pPr>
              <w:pStyle w:val="TableContents"/>
              <w:bidi w:val="0"/>
              <w:spacing w:before="0" w:after="0"/>
              <w:ind w:left="0" w:right="0" w:hanging="0"/>
              <w:jc w:val="righ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Purchases of property and equipment in accounts payable and accrued expenses and other liabilities</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212"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311</w:t>
            </w:r>
          </w:p>
        </w:tc>
        <w:tc>
          <w:tcPr>
            <w:tcW w:w="1054" w:type="dxa"/>
            <w:tcBorders/>
            <w:vAlign w:val="center"/>
          </w:tcPr>
          <w:p>
            <w:pPr>
              <w:pStyle w:val="TableContents"/>
              <w:bidi w:val="0"/>
              <w:spacing w:before="0" w:after="0"/>
              <w:ind w:left="0" w:right="0" w:hanging="0"/>
              <w:jc w:val="left"/>
              <w:rPr/>
            </w:pPr>
            <w:r>
              <w:rPr/>
              <w:t> </w:t>
            </w:r>
          </w:p>
        </w:tc>
      </w:tr>
      <w:tr>
        <w:trPr/>
        <w:tc>
          <w:tcPr>
            <w:tcW w:w="9151" w:type="dxa"/>
            <w:gridSpan w:val="8"/>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 following table provides a reconciliation of cash, cash equivalents, and restricted cash reported within the balance sheets that sum to the total of the same such amounts shown in the unaudited condensed consolidated statements of cash flows (in thousands):</w:t>
            </w:r>
          </w:p>
        </w:tc>
        <w:tc>
          <w:tcPr>
            <w:tcW w:w="1054" w:type="dxa"/>
            <w:tcBorders/>
            <w:vAlign w:val="center"/>
          </w:tcPr>
          <w:p>
            <w:pPr>
              <w:pStyle w:val="TableContents"/>
              <w:bidi w:val="0"/>
              <w:spacing w:before="0" w:after="0"/>
              <w:ind w:left="0" w:right="0" w:hanging="0"/>
              <w:jc w:val="left"/>
              <w:rPr/>
            </w:pPr>
            <w:r>
              <w:rPr/>
              <w:t> </w:t>
            </w:r>
          </w:p>
        </w:tc>
      </w:tr>
      <w:tr>
        <w:trPr/>
        <w:tc>
          <w:tcPr>
            <w:tcW w:w="598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March 31,</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83"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12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 w:type="dxa"/>
            <w:tcBorders/>
            <w:vAlign w:val="center"/>
          </w:tcPr>
          <w:p>
            <w:pPr>
              <w:pStyle w:val="TableContents"/>
              <w:bidi w:val="0"/>
              <w:spacing w:before="0" w:after="0"/>
              <w:ind w:left="0" w:right="0" w:hanging="0"/>
              <w:jc w:val="center"/>
              <w:rPr/>
            </w:pPr>
            <w:r>
              <w:rPr/>
              <w:t> </w:t>
            </w:r>
          </w:p>
        </w:tc>
        <w:tc>
          <w:tcPr>
            <w:tcW w:w="12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and cash equivalents, end of period</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38,492</w:t>
            </w:r>
          </w:p>
        </w:tc>
        <w:tc>
          <w:tcPr>
            <w:tcW w:w="212"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108,382</w:t>
            </w:r>
          </w:p>
        </w:tc>
        <w:tc>
          <w:tcPr>
            <w:tcW w:w="1054" w:type="dxa"/>
            <w:tcBorders/>
            <w:vAlign w:val="center"/>
          </w:tcPr>
          <w:p>
            <w:pPr>
              <w:pStyle w:val="TableContents"/>
              <w:bidi w:val="0"/>
              <w:spacing w:before="0" w:after="0"/>
              <w:ind w:left="0" w:right="0" w:hanging="0"/>
              <w:jc w:val="lef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Short-term restricted cash, end of period</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212"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1054" w:type="dxa"/>
            <w:tcBorders/>
            <w:vAlign w:val="center"/>
          </w:tcPr>
          <w:p>
            <w:pPr>
              <w:pStyle w:val="TableContents"/>
              <w:bidi w:val="0"/>
              <w:spacing w:before="0" w:after="0"/>
              <w:ind w:left="0" w:right="0" w:hanging="0"/>
              <w:jc w:val="lef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restricted cash, end of period</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768</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w:t>
            </w:r>
          </w:p>
        </w:tc>
        <w:tc>
          <w:tcPr>
            <w:tcW w:w="10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83"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Cash, cash equivalents and restricted cash at end of period</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39,280</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108,530</w:t>
            </w:r>
          </w:p>
        </w:tc>
        <w:tc>
          <w:tcPr>
            <w:tcW w:w="10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val="false"/>
          <w:i/>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Aura Biosciences, Inc.</w:t>
      </w:r>
    </w:p>
    <w:p>
      <w:pPr>
        <w:pStyle w:val="TextBody"/>
        <w:bidi w:val="0"/>
        <w:spacing w:before="240" w:after="0"/>
        <w:jc w:val="center"/>
        <w:rPr>
          <w:rFonts w:ascii="Arial;sans-serif" w:hAnsi="Arial;sans-serif"/>
          <w:b/>
          <w:sz w:val="20"/>
        </w:rPr>
      </w:pPr>
      <w:bookmarkStart w:id="10" w:name="notes_to_unaudited_condensed_financial_s"/>
      <w:bookmarkEnd w:id="10"/>
      <w:r>
        <w:rPr>
          <w:rFonts w:ascii="Arial;sans-serif" w:hAnsi="Arial;sans-serif"/>
          <w:b/>
          <w:sz w:val="20"/>
        </w:rPr>
        <w:t>Notes to Unaudited Condensed Consolidated Financial Statements</w:t>
      </w:r>
    </w:p>
    <w:p>
      <w:pPr>
        <w:pStyle w:val="TextBody"/>
        <w:bidi w:val="0"/>
        <w:spacing w:before="240" w:after="0"/>
        <w:jc w:val="left"/>
        <w:rPr>
          <w:rFonts w:ascii="Arial;sans-serif" w:hAnsi="Arial;sans-serif"/>
          <w:b/>
          <w:sz w:val="20"/>
        </w:rPr>
      </w:pPr>
      <w:r>
        <w:rPr>
          <w:rFonts w:ascii="Arial;sans-serif" w:hAnsi="Arial;sans-serif"/>
          <w:b/>
          <w:sz w:val="20"/>
        </w:rPr>
        <w:t>1. Description of Business</w:t>
      </w:r>
    </w:p>
    <w:p>
      <w:pPr>
        <w:pStyle w:val="TextBody"/>
        <w:bidi w:val="0"/>
        <w:spacing w:before="80" w:after="0"/>
        <w:jc w:val="both"/>
        <w:rPr>
          <w:rFonts w:ascii="Arial;sans-serif" w:hAnsi="Arial;sans-serif"/>
          <w:b w:val="false"/>
          <w:sz w:val="20"/>
        </w:rPr>
      </w:pPr>
      <w:r>
        <w:rPr>
          <w:rFonts w:ascii="Arial;sans-serif" w:hAnsi="Arial;sans-serif"/>
          <w:b w:val="false"/>
          <w:sz w:val="20"/>
        </w:rPr>
        <w:t>Aura Biosciences, Inc. (the “Company” or “Aura”) is a clinical-stage biotechnology company envisioning a new way to treat cancer. Leveraging its novel targeted oncology platform, the Company has the goal to develop a new standard of care across multiple cancer indications. Within these consolidated financial statements, unless the context otherwise requires, references to the Company or Aura refer to Aura Biosciences, Inc. and its subsidiary on a consolidated basis. The Company’s initial focus is on ocular and urologic oncology where the disease is diagnosed early and there is a high unmet medical need for targeted local therapies. The Company’s proprietary platform enables the targeting of a broad range of solid tumors using Virus-Like Particles, or VLPs, that can be conjugated with drugs or loaded with nucleic acids to create Virus-Like Drug Conjugates, or VDCs. The Company’s VDCs are largely agnostic to tumor type and can recognize a subset of modified tumor associated glycosaminoglycans that are part of the heparan sulphate chain of HSPGs expressed on the cell surface of many tumor cells and in the tumor microenvironment. Bel-sar, the Company’s first VDC candidate, is being developed for the first-line treatment of early-stage choroidal melanoma, a rare disease with no drugs approved where the standard of care leaves many patients with blindness. The Company is also developing bel-sar for additional ocular oncology indications, including choroidal metastasis, and in non-muscle invasive bladder cancer, or NMIBC. Aura’s headquarters are located in Boston, Massachusetts.</w:t>
      </w:r>
    </w:p>
    <w:p>
      <w:pPr>
        <w:pStyle w:val="TextBody"/>
        <w:bidi w:val="0"/>
        <w:spacing w:before="240" w:after="0"/>
        <w:jc w:val="both"/>
        <w:rPr>
          <w:rFonts w:ascii="Times New Roman" w:hAnsi="Times New Roman"/>
          <w:sz w:val="20"/>
        </w:rPr>
      </w:pPr>
      <w:r>
        <w:rPr>
          <w:rFonts w:ascii="Arial;sans-serif" w:hAnsi="Arial;sans-serif"/>
          <w:b w:val="false"/>
          <w:sz w:val="20"/>
        </w:rPr>
        <w:t>The Company’s operations to date have consisted primarily of conducting research and development and raising capital.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and collaborative partners, competition, customer demand, management of growth, and the effectiveness of marketing by the Company.</w:t>
      </w:r>
      <w:r>
        <w:rPr>
          <w:rFonts w:ascii="Times New Roman" w:hAnsi="Times New Roman"/>
          <w:sz w:val="20"/>
        </w:rPr>
        <w:t xml:space="preserve"> </w:t>
      </w:r>
    </w:p>
    <w:p>
      <w:pPr>
        <w:pStyle w:val="TextBody"/>
        <w:bidi w:val="0"/>
        <w:spacing w:before="240" w:after="0"/>
        <w:jc w:val="left"/>
        <w:rPr>
          <w:rFonts w:ascii="Arial;sans-serif" w:hAnsi="Arial;sans-serif"/>
          <w:b/>
          <w:i/>
          <w:sz w:val="20"/>
        </w:rPr>
      </w:pPr>
      <w:r>
        <w:rPr>
          <w:rFonts w:ascii="Arial;sans-serif" w:hAnsi="Arial;sans-serif"/>
          <w:b/>
          <w:i/>
          <w:sz w:val="20"/>
        </w:rPr>
        <w:t>Initial Public Offering</w:t>
      </w:r>
    </w:p>
    <w:p>
      <w:pPr>
        <w:pStyle w:val="TextBody"/>
        <w:bidi w:val="0"/>
        <w:spacing w:before="80" w:after="0"/>
        <w:jc w:val="both"/>
        <w:rPr>
          <w:rFonts w:ascii="Times New Roman" w:hAnsi="Times New Roman"/>
          <w:sz w:val="20"/>
        </w:rPr>
      </w:pPr>
      <w:r>
        <w:rPr>
          <w:rFonts w:ascii="Arial;sans-serif" w:hAnsi="Arial;sans-serif"/>
          <w:b w:val="false"/>
          <w:sz w:val="20"/>
        </w:rPr>
        <w:t>On November 2, 2021, the Company completed its initial public offering, or the IPO, in which it issued and sold 6,210,000</w:t>
      </w:r>
      <w:r>
        <w:rPr>
          <w:rFonts w:ascii="Times New Roman" w:hAnsi="Times New Roman"/>
          <w:sz w:val="20"/>
        </w:rPr>
        <w:t xml:space="preserve"> </w:t>
      </w:r>
      <w:r>
        <w:rPr>
          <w:rFonts w:ascii="Arial;sans-serif" w:hAnsi="Arial;sans-serif"/>
          <w:b w:val="false"/>
          <w:sz w:val="20"/>
        </w:rPr>
        <w:t>shares of common stock, including the full exercise of the underwriters’ option to purchase additional shares at a price to the public of $14.00</w:t>
      </w:r>
      <w:r>
        <w:rPr>
          <w:rFonts w:ascii="Times New Roman" w:hAnsi="Times New Roman"/>
          <w:sz w:val="20"/>
        </w:rPr>
        <w:t xml:space="preserve"> </w:t>
      </w:r>
      <w:r>
        <w:rPr>
          <w:rFonts w:ascii="Arial;sans-serif" w:hAnsi="Arial;sans-serif"/>
          <w:b w:val="false"/>
          <w:sz w:val="20"/>
        </w:rPr>
        <w:t>per share for aggregate gross proceeds of $86.9</w:t>
      </w:r>
      <w:r>
        <w:rPr>
          <w:rFonts w:ascii="Times New Roman" w:hAnsi="Times New Roman"/>
          <w:sz w:val="20"/>
        </w:rPr>
        <w:t xml:space="preserve"> </w:t>
      </w:r>
      <w:r>
        <w:rPr>
          <w:rFonts w:ascii="Arial;sans-serif" w:hAnsi="Arial;sans-serif"/>
          <w:b w:val="false"/>
          <w:sz w:val="20"/>
        </w:rPr>
        <w:t>million. The Company received approximately $78.3</w:t>
      </w:r>
      <w:r>
        <w:rPr>
          <w:rFonts w:ascii="Times New Roman" w:hAnsi="Times New Roman"/>
          <w:sz w:val="20"/>
        </w:rPr>
        <w:t xml:space="preserve"> </w:t>
      </w:r>
      <w:r>
        <w:rPr>
          <w:rFonts w:ascii="Arial;sans-serif" w:hAnsi="Arial;sans-serif"/>
          <w:b w:val="false"/>
          <w:sz w:val="20"/>
        </w:rPr>
        <w:t>million in net proceeds after deducting underwriting discounts, commissions and offering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i/>
          <w:sz w:val="20"/>
        </w:rPr>
        <w:t>Liquidity</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Through March 31, 2023, the Company has funded its operations primarily with proceeds from the initial and additional closings of its convertible preferred stock financings, and through its IPO, follow-on offering and at-the-market offering, or ATM transaction. On December 5, 2022, the Company issued and sold 7,705,000</w:t>
      </w:r>
      <w:r>
        <w:rPr>
          <w:rFonts w:ascii="Times New Roman" w:hAnsi="Times New Roman"/>
          <w:sz w:val="20"/>
        </w:rPr>
        <w:t xml:space="preserve"> </w:t>
      </w:r>
      <w:r>
        <w:rPr>
          <w:rFonts w:ascii="Arial;sans-serif" w:hAnsi="Arial;sans-serif"/>
          <w:b w:val="false"/>
          <w:sz w:val="20"/>
        </w:rPr>
        <w:t>shares of common stock, including the full exercise of the underwriters’ option to purchase additional shares at a price to the public of $12.00</w:t>
      </w:r>
      <w:r>
        <w:rPr>
          <w:rFonts w:ascii="Times New Roman" w:hAnsi="Times New Roman"/>
          <w:sz w:val="20"/>
        </w:rPr>
        <w:t xml:space="preserve"> </w:t>
      </w:r>
      <w:r>
        <w:rPr>
          <w:rFonts w:ascii="Arial;sans-serif" w:hAnsi="Arial;sans-serif"/>
          <w:b w:val="false"/>
          <w:sz w:val="20"/>
        </w:rPr>
        <w:t>per share for aggregate gross proceeds of $92.5</w:t>
      </w:r>
      <w:r>
        <w:rPr>
          <w:rFonts w:ascii="Times New Roman" w:hAnsi="Times New Roman"/>
          <w:sz w:val="20"/>
        </w:rPr>
        <w:t xml:space="preserve"> </w:t>
      </w:r>
      <w:r>
        <w:rPr>
          <w:rFonts w:ascii="Arial;sans-serif" w:hAnsi="Arial;sans-serif"/>
          <w:b w:val="false"/>
          <w:sz w:val="20"/>
        </w:rPr>
        <w:t>million, or the Follow-On Offering. The Company received approximately $86.7</w:t>
      </w:r>
      <w:r>
        <w:rPr>
          <w:rFonts w:ascii="Times New Roman" w:hAnsi="Times New Roman"/>
          <w:sz w:val="20"/>
        </w:rPr>
        <w:t xml:space="preserve"> </w:t>
      </w:r>
      <w:r>
        <w:rPr>
          <w:rFonts w:ascii="Arial;sans-serif" w:hAnsi="Arial;sans-serif"/>
          <w:b w:val="false"/>
          <w:sz w:val="20"/>
        </w:rPr>
        <w:t>million in net proceeds from the Follow-On Offering after deducting underwriting discounts, commissions and offering expenses. On November 1, 2022, the Company filed a shelf registration statement on Form S-3, or the 2022 Shelf,</w:t>
      </w:r>
      <w:r>
        <w:rPr>
          <w:rFonts w:ascii="Times New Roman" w:hAnsi="Times New Roman"/>
          <w:sz w:val="20"/>
        </w:rPr>
        <w:t xml:space="preserve"> </w:t>
      </w:r>
      <w:r>
        <w:rPr>
          <w:rFonts w:ascii="Arial;sans-serif" w:hAnsi="Arial;sans-serif"/>
          <w:b w:val="false"/>
          <w:sz w:val="20"/>
        </w:rPr>
        <w:t>with the SEC in relation to the registration of up to an aggregate offering price of $250.0</w:t>
      </w:r>
      <w:r>
        <w:rPr>
          <w:rFonts w:ascii="Times New Roman" w:hAnsi="Times New Roman"/>
          <w:sz w:val="20"/>
        </w:rPr>
        <w:t xml:space="preserve"> </w:t>
      </w:r>
      <w:r>
        <w:rPr>
          <w:rFonts w:ascii="Arial;sans-serif" w:hAnsi="Arial;sans-serif"/>
          <w:b w:val="false"/>
          <w:sz w:val="20"/>
        </w:rPr>
        <w:t>million of common stock, preferred stock, debt securities, warrants and units or any combination thereof. The Company also simultaneously entered into the Open Market Sale Agreement</w:t>
      </w:r>
      <w:r>
        <w:rPr>
          <w:rFonts w:ascii="Arial;sans-serif" w:hAnsi="Arial;sans-serif"/>
          <w:b w:val="false"/>
          <w:sz w:val="13"/>
        </w:rPr>
        <w:t>SM</w:t>
      </w:r>
      <w:r>
        <w:rPr>
          <w:rFonts w:ascii="Arial;sans-serif" w:hAnsi="Arial;sans-serif"/>
          <w:b w:val="false"/>
          <w:sz w:val="20"/>
        </w:rPr>
        <w:t>, or Sales Agreement, with Jefferies LLC, or the Sales Agent, to provide for the offering, issuance and sale by the Company of up to an aggregate of $75.0</w:t>
      </w:r>
      <w:r>
        <w:rPr>
          <w:rFonts w:ascii="Times New Roman" w:hAnsi="Times New Roman"/>
          <w:sz w:val="20"/>
        </w:rPr>
        <w:t xml:space="preserve"> </w:t>
      </w:r>
      <w:r>
        <w:rPr>
          <w:rFonts w:ascii="Arial;sans-serif" w:hAnsi="Arial;sans-serif"/>
          <w:b w:val="false"/>
          <w:sz w:val="20"/>
        </w:rPr>
        <w:t>million of common stock from time to time in the ATM</w:t>
      </w:r>
      <w:r>
        <w:rPr>
          <w:rFonts w:ascii="Times New Roman" w:hAnsi="Times New Roman"/>
          <w:sz w:val="20"/>
        </w:rPr>
        <w:t xml:space="preserve"> </w:t>
      </w:r>
      <w:r>
        <w:rPr>
          <w:rFonts w:ascii="Arial;sans-serif" w:hAnsi="Arial;sans-serif"/>
          <w:b w:val="false"/>
          <w:sz w:val="20"/>
        </w:rPr>
        <w:t>under the 2022 Shelf and subject to the limitations thereof. The Company issued 732,189</w:t>
      </w:r>
      <w:r>
        <w:rPr>
          <w:rFonts w:ascii="Times New Roman" w:hAnsi="Times New Roman"/>
          <w:sz w:val="20"/>
        </w:rPr>
        <w:t xml:space="preserve"> </w:t>
      </w:r>
      <w:r>
        <w:rPr>
          <w:rFonts w:ascii="Arial;sans-serif" w:hAnsi="Arial;sans-serif"/>
          <w:b w:val="false"/>
          <w:sz w:val="20"/>
        </w:rPr>
        <w:t>shares of common stock at an average price of $12.51</w:t>
      </w:r>
      <w:r>
        <w:rPr>
          <w:rFonts w:ascii="Times New Roman" w:hAnsi="Times New Roman"/>
          <w:sz w:val="20"/>
        </w:rPr>
        <w:t xml:space="preserve"> </w:t>
      </w:r>
      <w:r>
        <w:rPr>
          <w:rFonts w:ascii="Arial;sans-serif" w:hAnsi="Arial;sans-serif"/>
          <w:b w:val="false"/>
          <w:sz w:val="20"/>
        </w:rPr>
        <w:t>for aggregate gross proceeds of $9.2</w:t>
      </w:r>
      <w:r>
        <w:rPr>
          <w:rFonts w:ascii="Times New Roman" w:hAnsi="Times New Roman"/>
          <w:sz w:val="20"/>
        </w:rPr>
        <w:t xml:space="preserve"> </w:t>
      </w:r>
      <w:r>
        <w:rPr>
          <w:rFonts w:ascii="Arial;sans-serif" w:hAnsi="Arial;sans-serif"/>
          <w:b w:val="false"/>
          <w:sz w:val="20"/>
        </w:rPr>
        <w:t>million as of December 31, 2022 under the ATM, and issued no</w:t>
      </w:r>
      <w:r>
        <w:rPr>
          <w:rFonts w:ascii="Times New Roman" w:hAnsi="Times New Roman"/>
          <w:sz w:val="20"/>
        </w:rPr>
        <w:t xml:space="preserve"> </w:t>
      </w:r>
      <w:r>
        <w:rPr>
          <w:rFonts w:ascii="Arial;sans-serif" w:hAnsi="Arial;sans-serif"/>
          <w:b w:val="false"/>
          <w:sz w:val="20"/>
        </w:rPr>
        <w:t>common stock for the three months ended March 31, 2023. On November 2, 2021, the Company completed its IPO, in which it issued and sold 6,210,000</w:t>
      </w:r>
      <w:r>
        <w:rPr>
          <w:rFonts w:ascii="Times New Roman" w:hAnsi="Times New Roman"/>
          <w:sz w:val="20"/>
        </w:rPr>
        <w:t xml:space="preserve"> </w:t>
      </w:r>
      <w:r>
        <w:rPr>
          <w:rFonts w:ascii="Arial;sans-serif" w:hAnsi="Arial;sans-serif"/>
          <w:b w:val="false"/>
          <w:sz w:val="20"/>
        </w:rPr>
        <w:t>shares of common stock, including the full exercise of the underwriters’ option to purchase additional shares at a price to the public of $14.00</w:t>
      </w:r>
      <w:r>
        <w:rPr>
          <w:rFonts w:ascii="Times New Roman" w:hAnsi="Times New Roman"/>
          <w:sz w:val="20"/>
        </w:rPr>
        <w:t xml:space="preserve"> </w:t>
      </w:r>
      <w:r>
        <w:rPr>
          <w:rFonts w:ascii="Arial;sans-serif" w:hAnsi="Arial;sans-serif"/>
          <w:b w:val="false"/>
          <w:sz w:val="20"/>
        </w:rPr>
        <w:t>per share for aggregate gross proceeds of $86.9</w:t>
      </w:r>
      <w:r>
        <w:rPr>
          <w:rFonts w:ascii="Times New Roman" w:hAnsi="Times New Roman"/>
          <w:sz w:val="20"/>
        </w:rPr>
        <w:t xml:space="preserve"> </w:t>
      </w:r>
      <w:r>
        <w:rPr>
          <w:rFonts w:ascii="Arial;sans-serif" w:hAnsi="Arial;sans-serif"/>
          <w:b w:val="false"/>
          <w:sz w:val="20"/>
        </w:rPr>
        <w:t>million. The Company received approximately $78.3</w:t>
      </w:r>
      <w:r>
        <w:rPr>
          <w:rFonts w:ascii="Times New Roman" w:hAnsi="Times New Roman"/>
          <w:sz w:val="20"/>
        </w:rPr>
        <w:t xml:space="preserve"> </w:t>
      </w:r>
      <w:r>
        <w:rPr>
          <w:rFonts w:ascii="Arial;sans-serif" w:hAnsi="Arial;sans-serif"/>
          <w:b w:val="false"/>
          <w:sz w:val="20"/>
        </w:rPr>
        <w:t>million in net proceeds after deducting underwriting discounts, commissions and offering expenses. The Company has incurred recurring losses and negative operating cash flows from operations since its inception, including net losses of $17.5</w:t>
      </w:r>
      <w:r>
        <w:rPr>
          <w:rFonts w:ascii="Times New Roman" w:hAnsi="Times New Roman"/>
          <w:sz w:val="20"/>
        </w:rPr>
        <w:t xml:space="preserve"> </w:t>
      </w:r>
      <w:r>
        <w:rPr>
          <w:rFonts w:ascii="Arial;sans-serif" w:hAnsi="Arial;sans-serif"/>
          <w:b w:val="false"/>
          <w:sz w:val="20"/>
        </w:rPr>
        <w:t>million and $12.8</w:t>
      </w:r>
      <w:r>
        <w:rPr>
          <w:rFonts w:ascii="Times New Roman" w:hAnsi="Times New Roman"/>
          <w:sz w:val="20"/>
        </w:rPr>
        <w:t xml:space="preserve"> </w:t>
      </w:r>
      <w:r>
        <w:rPr>
          <w:rFonts w:ascii="Arial;sans-serif" w:hAnsi="Arial;sans-serif"/>
          <w:b w:val="false"/>
          <w:sz w:val="20"/>
        </w:rPr>
        <w:t>million for the three months ended March 31, 2023 and 2022, respectively. As of March 31, 2023, the Company had cash and cash equivalents and marketable securities of $173.5</w:t>
      </w:r>
      <w:r>
        <w:rPr>
          <w:rFonts w:ascii="Times New Roman" w:hAnsi="Times New Roman"/>
          <w:sz w:val="20"/>
        </w:rPr>
        <w:t xml:space="preserve"> </w:t>
      </w:r>
      <w:r>
        <w:rPr>
          <w:rFonts w:ascii="Arial;sans-serif" w:hAnsi="Arial;sans-serif"/>
          <w:b w:val="false"/>
          <w:sz w:val="20"/>
        </w:rPr>
        <w:t>million and an accumulated deficit of $228.4</w:t>
      </w:r>
      <w:r>
        <w:rPr>
          <w:rFonts w:ascii="Times New Roman" w:hAnsi="Times New Roman"/>
          <w:sz w:val="20"/>
        </w:rPr>
        <w:t xml:space="preserve"> </w:t>
      </w:r>
      <w:r>
        <w:rPr>
          <w:rFonts w:ascii="Arial;sans-serif" w:hAnsi="Arial;sans-serif"/>
          <w:b w:val="false"/>
          <w:sz w:val="20"/>
        </w:rPr>
        <w:t>million. The Company expects to continue to generate operating losses for the foreseeable future.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As of the issuance date of these unaudited condensed consolidated financial statements for the three months ended March 31, 2023, the Company expects that its cash and cash equivalents and marketable securities will be sufficient to fund its operating expenses and capital expenditure requirements through at least 12 months from the issuance of these consolidated financial statements. The future viability of the Company beyond that point is dependent on its ability to raise additional capital to finance its operations.</w:t>
      </w:r>
      <w:r>
        <w:rPr>
          <w:rFonts w:ascii="Times New Roman" w:hAnsi="Times New Roman"/>
          <w:sz w:val="20"/>
        </w:rPr>
        <w:t xml:space="preserve"> </w:t>
      </w:r>
    </w:p>
    <w:p>
      <w:pPr>
        <w:pStyle w:val="TextBody"/>
        <w:bidi w:val="0"/>
        <w:spacing w:before="240" w:after="0"/>
        <w:jc w:val="left"/>
        <w:rPr>
          <w:rFonts w:ascii="Arial;sans-serif" w:hAnsi="Arial;sans-serif"/>
          <w:b/>
          <w:sz w:val="20"/>
        </w:rPr>
      </w:pPr>
      <w:r>
        <w:rPr>
          <w:rFonts w:ascii="Arial;sans-serif" w:hAnsi="Arial;sans-serif"/>
          <w:b/>
          <w:sz w:val="20"/>
        </w:rPr>
        <w:t>2. Summary of Significant Accounting Policies</w:t>
      </w:r>
    </w:p>
    <w:p>
      <w:pPr>
        <w:pStyle w:val="TextBody"/>
        <w:bidi w:val="0"/>
        <w:spacing w:before="80" w:after="0"/>
        <w:jc w:val="left"/>
        <w:rPr>
          <w:rFonts w:ascii="Times New Roman" w:hAnsi="Times New Roman"/>
          <w:sz w:val="20"/>
        </w:rPr>
      </w:pPr>
      <w:r>
        <w:rPr>
          <w:rFonts w:ascii="Arial;sans-serif" w:hAnsi="Arial;sans-serif"/>
          <w:b/>
          <w:i/>
          <w:sz w:val="20"/>
        </w:rPr>
        <w:t>Basis of Presentation</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months ended March 31, 2023 and 2022 are also unaudited. The unaudited condensed results of operations are not</w:t>
      </w:r>
      <w:r>
        <w:rPr>
          <w:rFonts w:ascii="Times New Roman" w:hAnsi="Times New Roman"/>
          <w:sz w:val="20"/>
        </w:rPr>
        <w:t xml:space="preserve"> </w:t>
      </w:r>
      <w:r>
        <w:rPr>
          <w:rFonts w:ascii="Arial;sans-serif" w:hAnsi="Arial;sans-serif"/>
          <w:b w:val="false"/>
          <w:sz w:val="20"/>
        </w:rPr>
        <w:t>necessarily indicative of the operating results that may occur for the full fiscal year ending December 31, 2023.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i/>
          <w:sz w:val="20"/>
        </w:rPr>
        <w:t>Significant Accounting Policies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Company’s significant accounting policies are disclosed in the audited consolidated financial statements for the year ended December 31, 2022, in the Company’s Annual Report on Form 10-K filed with the SEC on March 15, 2023. There have been no changes to the Company’s significant accounting policies except as noted below.</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Recently Adopted Accounting Pronouncements</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was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adopted the standard on January 1, 2023 and did not have a material impact on its results of operations, financial condition, and financial statement disclosures.</w:t>
      </w:r>
    </w:p>
    <w:p>
      <w:pPr>
        <w:pStyle w:val="TextBody"/>
        <w:bidi w:val="0"/>
        <w:spacing w:before="240" w:after="0"/>
        <w:jc w:val="center"/>
        <w:rPr>
          <w:rFonts w:ascii="Arial;sans-serif" w:hAnsi="Arial;sans-serif"/>
          <w:b w:val="false"/>
          <w:sz w:val="20"/>
        </w:rPr>
      </w:pPr>
      <w:r>
        <w:rPr>
          <w:rFonts w:ascii="Arial;sans-serif" w:hAnsi="Arial;sans-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Arial;sans-serif" w:hAnsi="Arial;sans-serif"/>
          <w:b/>
          <w:sz w:val="20"/>
        </w:rPr>
      </w:pPr>
      <w:r>
        <w:rPr>
          <w:rFonts w:ascii="Arial;sans-serif" w:hAnsi="Arial;sans-serif"/>
          <w:b/>
          <w:sz w:val="20"/>
        </w:rPr>
        <w:t>3. Fair Value of Assets and Liabilities</w:t>
      </w:r>
    </w:p>
    <w:p>
      <w:pPr>
        <w:pStyle w:val="TextBody"/>
        <w:bidi w:val="0"/>
        <w:spacing w:before="80" w:after="0"/>
        <w:jc w:val="both"/>
        <w:rPr>
          <w:rFonts w:ascii="Times New Roman" w:hAnsi="Times New Roman"/>
          <w:sz w:val="20"/>
        </w:rPr>
      </w:pPr>
      <w:r>
        <w:rPr>
          <w:rFonts w:ascii="Arial;sans-serif" w:hAnsi="Arial;sans-serif"/>
          <w:b w:val="false"/>
          <w:sz w:val="20"/>
        </w:rPr>
        <w:t>The following table presents information about the Company’s financial assets and liabilities measured at fair value on a recurring basis and indicates the level of the fair value hierarchy utilized to determine such fair values as of March 31, 2023 and December 31, 2022 (in thousands):</w:t>
      </w:r>
      <w:r>
        <w:rPr>
          <w:rFonts w:ascii="Times New Roman" w:hAnsi="Times New Roman"/>
          <w:sz w:val="20"/>
        </w:rPr>
        <w:t xml:space="preserve"> </w:t>
      </w:r>
    </w:p>
    <w:p>
      <w:pPr>
        <w:pStyle w:val="TextBody"/>
        <w:bidi w:val="0"/>
        <w:spacing w:before="0" w:after="0"/>
        <w:jc w:val="left"/>
        <w:rPr/>
      </w:pPr>
      <w:r>
        <w:rPr/>
        <w:t> </w:t>
      </w:r>
    </w:p>
    <w:tbl>
      <w:tblPr>
        <w:tblW w:w="8773" w:type="dxa"/>
        <w:jc w:val="left"/>
        <w:tblInd w:w="0" w:type="dxa"/>
        <w:tblLayout w:type="fixed"/>
        <w:tblCellMar>
          <w:top w:w="28" w:type="dxa"/>
          <w:left w:w="28" w:type="dxa"/>
          <w:bottom w:w="28" w:type="dxa"/>
          <w:right w:w="28" w:type="dxa"/>
        </w:tblCellMar>
      </w:tblPr>
      <w:tblGrid>
        <w:gridCol w:w="2596"/>
        <w:gridCol w:w="146"/>
        <w:gridCol w:w="211"/>
        <w:gridCol w:w="796"/>
        <w:gridCol w:w="146"/>
        <w:gridCol w:w="146"/>
        <w:gridCol w:w="333"/>
        <w:gridCol w:w="1092"/>
        <w:gridCol w:w="146"/>
        <w:gridCol w:w="146"/>
        <w:gridCol w:w="235"/>
        <w:gridCol w:w="891"/>
        <w:gridCol w:w="146"/>
        <w:gridCol w:w="146"/>
        <w:gridCol w:w="426"/>
        <w:gridCol w:w="700"/>
        <w:gridCol w:w="47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rFonts w:ascii="Arial;sans-serif" w:hAnsi="Arial;sans-serif"/>
                <w:b/>
                <w:sz w:val="20"/>
                <w:u w:val="single"/>
              </w:rPr>
            </w:pPr>
            <w:r>
              <w:rPr>
                <w:rFonts w:ascii="Arial;sans-serif" w:hAnsi="Arial;sans-serif"/>
                <w:b/>
                <w:sz w:val="20"/>
                <w:u w:val="single"/>
              </w:rPr>
              <w:t>Description</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sz w:val="20"/>
              </w:rPr>
              <w:t>Quoted</w:t>
            </w:r>
            <w:r>
              <w:rPr>
                <w:rFonts w:ascii="Times New Roman" w:hAnsi="Times New Roman"/>
                <w:sz w:val="20"/>
              </w:rPr>
              <w:t xml:space="preserve"> </w:t>
            </w:r>
            <w:r>
              <w:rPr>
                <w:rFonts w:ascii="Arial;sans-serif" w:hAnsi="Arial;sans-serif"/>
                <w:b/>
                <w:sz w:val="20"/>
              </w:rPr>
              <w:t>prices</w:t>
              <w:br/>
              <w:t>active</w:t>
            </w:r>
            <w:r>
              <w:rPr>
                <w:rFonts w:ascii="Times New Roman" w:hAnsi="Times New Roman"/>
                <w:sz w:val="20"/>
              </w:rPr>
              <w:t xml:space="preserve"> </w:t>
            </w:r>
            <w:r>
              <w:rPr>
                <w:rFonts w:ascii="Arial;sans-serif" w:hAnsi="Arial;sans-serif"/>
                <w:b/>
                <w:sz w:val="20"/>
              </w:rPr>
              <w:t>markets</w:t>
              <w:br/>
              <w:t>for identical</w:t>
              <w:br/>
              <w:t>assets</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Significant</w:t>
              <w:br/>
              <w:t>other</w:t>
              <w:br/>
              <w:t>observable</w:t>
              <w:br/>
              <w:t>inputs</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Significant</w:t>
              <w:br/>
              <w:t>other</w:t>
              <w:br/>
              <w:t>observable</w:t>
              <w:br/>
              <w:t>inputs</w:t>
              <w:br/>
              <w:t>(Level 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i/>
                <w:sz w:val="20"/>
              </w:rPr>
            </w:pPr>
            <w:r>
              <w:rPr>
                <w:rFonts w:ascii="Arial;sans-serif" w:hAnsi="Arial;sans-serif"/>
                <w:b w:val="false"/>
                <w:i/>
                <w:sz w:val="20"/>
              </w:rPr>
              <w:t>Financial assets</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left"/>
              <w:rPr/>
            </w:pPr>
            <w:r>
              <w:rPr/>
              <w:t> </w:t>
            </w:r>
          </w:p>
        </w:tc>
        <w:tc>
          <w:tcPr>
            <w:tcW w:w="47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259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2596" w:type="dxa"/>
            <w:tcBorders/>
            <w:vAlign w:val="center"/>
          </w:tcPr>
          <w:p>
            <w:pPr>
              <w:pStyle w:val="TableContents"/>
              <w:bidi w:val="0"/>
              <w:spacing w:before="0" w:after="0"/>
              <w:ind w:left="280" w:right="0" w:hanging="0"/>
              <w:jc w:val="left"/>
              <w:rPr/>
            </w:pPr>
            <w:r>
              <w:rPr/>
              <w:t>  </w:t>
            </w: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3" w:type="dxa"/>
            <w:tcBorders/>
            <w:vAlign w:val="center"/>
          </w:tcPr>
          <w:p>
            <w:pPr>
              <w:pStyle w:val="TableContents"/>
              <w:bidi w:val="0"/>
              <w:spacing w:before="0" w:after="0"/>
              <w:ind w:left="0" w:right="0" w:hanging="0"/>
              <w:jc w:val="left"/>
              <w:rPr/>
            </w:pPr>
            <w:r>
              <w:rPr/>
              <w:t> </w:t>
            </w:r>
          </w:p>
        </w:tc>
        <w:tc>
          <w:tcPr>
            <w:tcW w:w="10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firstLine="280"/>
              <w:jc w:val="left"/>
              <w:rPr/>
            </w:pPr>
            <w:r>
              <w:rPr/>
              <w:t> </w:t>
            </w:r>
          </w:p>
        </w:tc>
      </w:tr>
      <w:tr>
        <w:trPr/>
        <w:tc>
          <w:tcPr>
            <w:tcW w:w="2596" w:type="dxa"/>
            <w:tcBorders/>
            <w:vAlign w:val="center"/>
          </w:tcPr>
          <w:p>
            <w:pPr>
              <w:pStyle w:val="TableContents"/>
              <w:bidi w:val="0"/>
              <w:spacing w:before="0" w:after="0"/>
              <w:ind w:left="0" w:right="0" w:firstLine="280"/>
              <w:jc w:val="left"/>
              <w:rPr/>
            </w:pPr>
            <w:r>
              <w:rPr/>
              <w:t>  </w:t>
            </w:r>
            <w:r>
              <w:rPr>
                <w:rFonts w:ascii="Arial;sans-serif" w:hAnsi="Arial;sans-serif"/>
                <w:b w:val="false"/>
                <w:sz w:val="20"/>
              </w:rPr>
              <w:t>Corporate bonds</w:t>
            </w:r>
          </w:p>
        </w:tc>
        <w:tc>
          <w:tcPr>
            <w:tcW w:w="146" w:type="dxa"/>
            <w:tcBorders/>
            <w:vAlign w:val="center"/>
          </w:tcPr>
          <w:p>
            <w:pPr>
              <w:pStyle w:val="TableContents"/>
              <w:bidi w:val="0"/>
              <w:spacing w:before="0" w:after="0"/>
              <w:ind w:left="28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3" w:type="dxa"/>
            <w:tcBorders/>
            <w:vAlign w:val="center"/>
          </w:tcPr>
          <w:p>
            <w:pPr>
              <w:pStyle w:val="TableContents"/>
              <w:bidi w:val="0"/>
              <w:spacing w:before="0" w:after="0"/>
              <w:ind w:left="0" w:right="0" w:hanging="0"/>
              <w:jc w:val="left"/>
              <w:rPr/>
            </w:pPr>
            <w:r>
              <w:rPr/>
              <w:t> </w:t>
            </w:r>
          </w:p>
        </w:tc>
        <w:tc>
          <w:tcPr>
            <w:tcW w:w="10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firstLine="280"/>
              <w:jc w:val="left"/>
              <w:rPr/>
            </w:pPr>
            <w:r>
              <w:rPr/>
              <w:t> </w:t>
            </w:r>
          </w:p>
        </w:tc>
      </w:tr>
      <w:tr>
        <w:trPr/>
        <w:tc>
          <w:tcPr>
            <w:tcW w:w="2596" w:type="dxa"/>
            <w:tcBorders/>
            <w:vAlign w:val="center"/>
          </w:tcPr>
          <w:p>
            <w:pPr>
              <w:pStyle w:val="TableContents"/>
              <w:bidi w:val="0"/>
              <w:spacing w:before="0" w:after="0"/>
              <w:ind w:left="280" w:right="0" w:hanging="0"/>
              <w:jc w:val="left"/>
              <w:rPr/>
            </w:pPr>
            <w:r>
              <w:rPr/>
              <w:t>  </w:t>
            </w:r>
            <w:r>
              <w:rPr>
                <w:rFonts w:ascii="Arial;sans-serif" w:hAnsi="Arial;sans-serif"/>
                <w:b w:val="false"/>
                <w:sz w:val="20"/>
              </w:rPr>
              <w:t>U.S. Government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3" w:type="dxa"/>
            <w:tcBorders/>
            <w:vAlign w:val="center"/>
          </w:tcPr>
          <w:p>
            <w:pPr>
              <w:pStyle w:val="TableContents"/>
              <w:bidi w:val="0"/>
              <w:spacing w:before="0" w:after="0"/>
              <w:ind w:left="0" w:right="0" w:hanging="0"/>
              <w:jc w:val="left"/>
              <w:rPr/>
            </w:pPr>
            <w:r>
              <w:rPr/>
              <w:t> </w:t>
            </w:r>
          </w:p>
        </w:tc>
        <w:tc>
          <w:tcPr>
            <w:tcW w:w="10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firstLine="280"/>
              <w:jc w:val="left"/>
              <w:rPr/>
            </w:pPr>
            <w:r>
              <w:rPr/>
              <w:t> </w:t>
            </w:r>
          </w:p>
        </w:tc>
      </w:tr>
      <w:tr>
        <w:trPr/>
        <w:tc>
          <w:tcPr>
            <w:tcW w:w="2596" w:type="dxa"/>
            <w:tcBorders/>
            <w:vAlign w:val="center"/>
          </w:tcPr>
          <w:p>
            <w:pPr>
              <w:pStyle w:val="TableContents"/>
              <w:bidi w:val="0"/>
              <w:spacing w:before="0" w:after="0"/>
              <w:ind w:left="280" w:right="0" w:hanging="0"/>
              <w:jc w:val="left"/>
              <w:rPr/>
            </w:pPr>
            <w:r>
              <w:rPr/>
              <w:t>  </w:t>
            </w:r>
            <w:r>
              <w:rPr>
                <w:rFonts w:ascii="Arial;sans-serif" w:hAnsi="Arial;sans-serif"/>
                <w:b w:val="false"/>
                <w:sz w:val="20"/>
              </w:rPr>
              <w:t>Yankee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3" w:type="dxa"/>
            <w:tcBorders/>
            <w:vAlign w:val="center"/>
          </w:tcPr>
          <w:p>
            <w:pPr>
              <w:pStyle w:val="TableContents"/>
              <w:bidi w:val="0"/>
              <w:spacing w:before="0" w:after="0"/>
              <w:ind w:left="0" w:right="0" w:hanging="0"/>
              <w:jc w:val="left"/>
              <w:rPr/>
            </w:pPr>
            <w:r>
              <w:rPr/>
              <w:t> </w:t>
            </w:r>
          </w:p>
        </w:tc>
        <w:tc>
          <w:tcPr>
            <w:tcW w:w="10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2596" w:type="dxa"/>
            <w:tcBorders/>
            <w:vAlign w:val="center"/>
          </w:tcPr>
          <w:p>
            <w:pPr>
              <w:pStyle w:val="TableContents"/>
              <w:bidi w:val="0"/>
              <w:spacing w:before="0" w:after="0"/>
              <w:ind w:left="280" w:right="0" w:hanging="0"/>
              <w:jc w:val="left"/>
              <w:rPr/>
            </w:pPr>
            <w:r>
              <w:rPr/>
              <w:t>  </w:t>
            </w:r>
            <w:r>
              <w:rPr>
                <w:rFonts w:ascii="Arial;sans-serif" w:hAnsi="Arial;sans-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financial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169,218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34,188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135,030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9131" w:type="dxa"/>
        <w:jc w:val="left"/>
        <w:tblInd w:w="0" w:type="dxa"/>
        <w:tblLayout w:type="fixed"/>
        <w:tblCellMar>
          <w:top w:w="28" w:type="dxa"/>
          <w:left w:w="28" w:type="dxa"/>
          <w:bottom w:w="28" w:type="dxa"/>
          <w:right w:w="28" w:type="dxa"/>
        </w:tblCellMar>
      </w:tblPr>
      <w:tblGrid>
        <w:gridCol w:w="2596"/>
        <w:gridCol w:w="146"/>
        <w:gridCol w:w="286"/>
        <w:gridCol w:w="1079"/>
        <w:gridCol w:w="146"/>
        <w:gridCol w:w="146"/>
        <w:gridCol w:w="298"/>
        <w:gridCol w:w="1127"/>
        <w:gridCol w:w="146"/>
        <w:gridCol w:w="146"/>
        <w:gridCol w:w="263"/>
        <w:gridCol w:w="863"/>
        <w:gridCol w:w="146"/>
        <w:gridCol w:w="146"/>
        <w:gridCol w:w="426"/>
        <w:gridCol w:w="700"/>
        <w:gridCol w:w="47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rFonts w:ascii="Arial;sans-serif" w:hAnsi="Arial;sans-serif"/>
                <w:b/>
                <w:sz w:val="20"/>
                <w:u w:val="single"/>
              </w:rPr>
            </w:pPr>
            <w:r>
              <w:rPr>
                <w:rFonts w:ascii="Arial;sans-serif" w:hAnsi="Arial;sans-serif"/>
                <w:b/>
                <w:sz w:val="20"/>
                <w:u w:val="single"/>
              </w:rPr>
              <w:t>Description</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sz w:val="20"/>
              </w:rPr>
              <w:t>Quoted</w:t>
            </w:r>
            <w:r>
              <w:rPr>
                <w:rFonts w:ascii="Times New Roman" w:hAnsi="Times New Roman"/>
                <w:sz w:val="20"/>
              </w:rPr>
              <w:t xml:space="preserve"> </w:t>
            </w:r>
            <w:r>
              <w:rPr>
                <w:rFonts w:ascii="Arial;sans-serif" w:hAnsi="Arial;sans-serif"/>
                <w:b/>
                <w:sz w:val="20"/>
              </w:rPr>
              <w:t>prices</w:t>
              <w:br/>
              <w:t>active</w:t>
            </w:r>
            <w:r>
              <w:rPr>
                <w:rFonts w:ascii="Times New Roman" w:hAnsi="Times New Roman"/>
                <w:sz w:val="20"/>
              </w:rPr>
              <w:t xml:space="preserve"> </w:t>
            </w:r>
            <w:r>
              <w:rPr>
                <w:rFonts w:ascii="Arial;sans-serif" w:hAnsi="Arial;sans-serif"/>
                <w:b/>
                <w:sz w:val="20"/>
              </w:rPr>
              <w:t>markets</w:t>
              <w:br/>
              <w:t>for identical</w:t>
              <w:br/>
              <w:t>assets</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Significant</w:t>
              <w:br/>
              <w:t>other</w:t>
              <w:br/>
              <w:t>observable</w:t>
              <w:br/>
              <w:t>inputs</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Significant</w:t>
              <w:br/>
              <w:t>other</w:t>
              <w:br/>
              <w:t>observable</w:t>
              <w:br/>
              <w:t>inputs</w:t>
              <w:br/>
              <w:t>(Level 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i/>
                <w:sz w:val="20"/>
              </w:rPr>
            </w:pPr>
            <w:r>
              <w:rPr>
                <w:rFonts w:ascii="Arial;sans-serif" w:hAnsi="Arial;sans-serif"/>
                <w:b w:val="false"/>
                <w:i/>
                <w:sz w:val="20"/>
              </w:rPr>
              <w:t>Financial assets</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left"/>
              <w:rPr/>
            </w:pPr>
            <w:r>
              <w:rPr/>
              <w:t> </w:t>
            </w:r>
          </w:p>
        </w:tc>
        <w:tc>
          <w:tcPr>
            <w:tcW w:w="47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259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2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2596" w:type="dxa"/>
            <w:tcBorders/>
            <w:vAlign w:val="center"/>
          </w:tcPr>
          <w:p>
            <w:pPr>
              <w:pStyle w:val="TableContents"/>
              <w:bidi w:val="0"/>
              <w:spacing w:before="0" w:after="0"/>
              <w:ind w:left="280" w:right="0" w:hanging="0"/>
              <w:jc w:val="left"/>
              <w:rPr/>
            </w:pPr>
            <w:r>
              <w:rPr/>
              <w:t>  </w:t>
            </w: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7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8" w:type="dxa"/>
            <w:tcBorders/>
            <w:vAlign w:val="center"/>
          </w:tcPr>
          <w:p>
            <w:pPr>
              <w:pStyle w:val="TableContents"/>
              <w:bidi w:val="0"/>
              <w:spacing w:before="0" w:after="0"/>
              <w:ind w:left="0" w:right="0" w:hanging="0"/>
              <w:jc w:val="left"/>
              <w:rPr/>
            </w:pPr>
            <w:r>
              <w:rPr/>
              <w:t> </w:t>
            </w:r>
          </w:p>
        </w:tc>
        <w:tc>
          <w:tcPr>
            <w:tcW w:w="11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firstLine="280"/>
              <w:jc w:val="left"/>
              <w:rPr/>
            </w:pPr>
            <w:r>
              <w:rPr/>
              <w:t> </w:t>
            </w:r>
          </w:p>
        </w:tc>
      </w:tr>
      <w:tr>
        <w:trPr/>
        <w:tc>
          <w:tcPr>
            <w:tcW w:w="2596" w:type="dxa"/>
            <w:tcBorders/>
            <w:vAlign w:val="center"/>
          </w:tcPr>
          <w:p>
            <w:pPr>
              <w:pStyle w:val="TableContents"/>
              <w:bidi w:val="0"/>
              <w:spacing w:before="0" w:after="0"/>
              <w:ind w:left="0" w:right="0" w:firstLine="280"/>
              <w:jc w:val="left"/>
              <w:rPr/>
            </w:pPr>
            <w:r>
              <w:rPr/>
              <w:t>  </w:t>
            </w:r>
            <w:r>
              <w:rPr>
                <w:rFonts w:ascii="Arial;sans-serif" w:hAnsi="Arial;sans-serif"/>
                <w:b w:val="false"/>
                <w:sz w:val="20"/>
              </w:rPr>
              <w:t>Corporate bonds</w:t>
            </w:r>
          </w:p>
        </w:tc>
        <w:tc>
          <w:tcPr>
            <w:tcW w:w="146" w:type="dxa"/>
            <w:tcBorders/>
            <w:vAlign w:val="center"/>
          </w:tcPr>
          <w:p>
            <w:pPr>
              <w:pStyle w:val="TableContents"/>
              <w:bidi w:val="0"/>
              <w:spacing w:before="0" w:after="0"/>
              <w:ind w:left="28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7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8" w:type="dxa"/>
            <w:tcBorders/>
            <w:vAlign w:val="center"/>
          </w:tcPr>
          <w:p>
            <w:pPr>
              <w:pStyle w:val="TableContents"/>
              <w:bidi w:val="0"/>
              <w:spacing w:before="0" w:after="0"/>
              <w:ind w:left="0" w:right="0" w:hanging="0"/>
              <w:jc w:val="left"/>
              <w:rPr/>
            </w:pPr>
            <w:r>
              <w:rPr/>
              <w:t> </w:t>
            </w:r>
          </w:p>
        </w:tc>
        <w:tc>
          <w:tcPr>
            <w:tcW w:w="11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firstLine="280"/>
              <w:jc w:val="left"/>
              <w:rPr/>
            </w:pPr>
            <w:r>
              <w:rPr/>
              <w:t> </w:t>
            </w:r>
          </w:p>
        </w:tc>
      </w:tr>
      <w:tr>
        <w:trPr/>
        <w:tc>
          <w:tcPr>
            <w:tcW w:w="2596" w:type="dxa"/>
            <w:tcBorders/>
            <w:vAlign w:val="center"/>
          </w:tcPr>
          <w:p>
            <w:pPr>
              <w:pStyle w:val="TableContents"/>
              <w:bidi w:val="0"/>
              <w:spacing w:before="0" w:after="0"/>
              <w:ind w:left="280" w:right="0" w:hanging="0"/>
              <w:jc w:val="left"/>
              <w:rPr/>
            </w:pPr>
            <w:r>
              <w:rPr/>
              <w:t>  </w:t>
            </w:r>
            <w:r>
              <w:rPr>
                <w:rFonts w:ascii="Arial;sans-serif" w:hAnsi="Arial;sans-serif"/>
                <w:b w:val="false"/>
                <w:sz w:val="20"/>
              </w:rPr>
              <w:t>U.S. Government agencies</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c>
          <w:tcPr>
            <w:tcW w:w="107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8" w:type="dxa"/>
            <w:tcBorders/>
            <w:vAlign w:val="center"/>
          </w:tcPr>
          <w:p>
            <w:pPr>
              <w:pStyle w:val="TableContents"/>
              <w:bidi w:val="0"/>
              <w:spacing w:before="0" w:after="0"/>
              <w:ind w:left="0" w:right="0" w:hanging="0"/>
              <w:jc w:val="left"/>
              <w:rPr/>
            </w:pPr>
            <w:r>
              <w:rPr/>
              <w:t> </w:t>
            </w:r>
          </w:p>
        </w:tc>
        <w:tc>
          <w:tcPr>
            <w:tcW w:w="11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firstLine="280"/>
              <w:jc w:val="left"/>
              <w:rPr/>
            </w:pPr>
            <w:r>
              <w:rPr/>
              <w:t> </w:t>
            </w:r>
          </w:p>
        </w:tc>
      </w:tr>
      <w:tr>
        <w:trPr/>
        <w:tc>
          <w:tcPr>
            <w:tcW w:w="2596" w:type="dxa"/>
            <w:tcBorders/>
            <w:vAlign w:val="center"/>
          </w:tcPr>
          <w:p>
            <w:pPr>
              <w:pStyle w:val="TableContents"/>
              <w:bidi w:val="0"/>
              <w:spacing w:before="0" w:after="0"/>
              <w:ind w:left="280" w:right="0" w:hanging="0"/>
              <w:jc w:val="left"/>
              <w:rPr/>
            </w:pPr>
            <w:r>
              <w:rPr/>
              <w:t>  </w:t>
            </w:r>
            <w:r>
              <w:rPr>
                <w:rFonts w:ascii="Arial;sans-serif" w:hAnsi="Arial;sans-serif"/>
                <w:b w:val="false"/>
                <w:sz w:val="20"/>
              </w:rPr>
              <w:t>Yankee bonds</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2596" w:type="dxa"/>
            <w:tcBorders/>
            <w:vAlign w:val="center"/>
          </w:tcPr>
          <w:p>
            <w:pPr>
              <w:pStyle w:val="TableContents"/>
              <w:bidi w:val="0"/>
              <w:spacing w:before="0" w:after="0"/>
              <w:ind w:left="280" w:right="0" w:hanging="0"/>
              <w:jc w:val="left"/>
              <w:rPr/>
            </w:pPr>
            <w:r>
              <w:rPr/>
              <w:t>  </w:t>
            </w:r>
            <w:r>
              <w:rPr>
                <w:rFonts w:ascii="Arial;sans-serif" w:hAnsi="Arial;sans-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financial assets</w:t>
            </w:r>
          </w:p>
        </w:tc>
        <w:tc>
          <w:tcPr>
            <w:tcW w:w="146" w:type="dxa"/>
            <w:tcBorders/>
            <w:vAlign w:val="center"/>
          </w:tcPr>
          <w:p>
            <w:pPr>
              <w:pStyle w:val="TableContents"/>
              <w:bidi w:val="0"/>
              <w:spacing w:before="0" w:after="0"/>
              <w:ind w:left="0" w:right="0" w:hanging="0"/>
              <w:jc w:val="left"/>
              <w:rPr/>
            </w:pPr>
            <w:r>
              <w:rPr/>
              <w:t> </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185,811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118,582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67,229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sz w:val="20"/>
        </w:rPr>
      </w:pPr>
      <w:r>
        <w:rPr>
          <w:rFonts w:ascii="Arial;sans-serif" w:hAnsi="Arial;sans-serif"/>
          <w:b/>
          <w:sz w:val="20"/>
        </w:rPr>
        <w:t>4. Property and Equipment, Net</w:t>
      </w:r>
    </w:p>
    <w:p>
      <w:pPr>
        <w:pStyle w:val="TextBody"/>
        <w:bidi w:val="0"/>
        <w:spacing w:before="80" w:after="0"/>
        <w:jc w:val="both"/>
        <w:rPr>
          <w:rFonts w:ascii="Times New Roman" w:hAnsi="Times New Roman"/>
          <w:sz w:val="20"/>
        </w:rPr>
      </w:pPr>
      <w:r>
        <w:rPr>
          <w:rFonts w:ascii="Arial;sans-serif" w:hAnsi="Arial;sans-serif"/>
          <w:b w:val="false"/>
          <w:sz w:val="20"/>
        </w:rPr>
        <w:t>Property and equipment, net,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5995" w:type="dxa"/>
        <w:jc w:val="left"/>
        <w:tblInd w:w="0" w:type="dxa"/>
        <w:tblLayout w:type="fixed"/>
        <w:tblCellMar>
          <w:top w:w="28" w:type="dxa"/>
          <w:left w:w="28" w:type="dxa"/>
          <w:bottom w:w="28" w:type="dxa"/>
          <w:right w:w="28" w:type="dxa"/>
        </w:tblCellMar>
      </w:tblPr>
      <w:tblGrid>
        <w:gridCol w:w="2956"/>
        <w:gridCol w:w="146"/>
        <w:gridCol w:w="247"/>
        <w:gridCol w:w="758"/>
        <w:gridCol w:w="166"/>
        <w:gridCol w:w="146"/>
        <w:gridCol w:w="336"/>
        <w:gridCol w:w="1029"/>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December 31,</w:t>
              <w:b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Assets under construction</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1,805</w:t>
            </w:r>
          </w:p>
        </w:tc>
        <w:tc>
          <w:tcPr>
            <w:tcW w:w="21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 equipment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133</w:t>
            </w:r>
          </w:p>
        </w:tc>
        <w:tc>
          <w:tcPr>
            <w:tcW w:w="21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7,297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9,235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Less—accumulated depreciation</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(3,864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5,371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sz w:val="20"/>
        </w:rPr>
        <w:t>Depreciation expense was $0.3</w:t>
      </w:r>
      <w:r>
        <w:rPr>
          <w:rFonts w:ascii="Times New Roman" w:hAnsi="Times New Roman"/>
          <w:sz w:val="20"/>
        </w:rPr>
        <w:t xml:space="preserve"> </w:t>
      </w:r>
      <w:r>
        <w:rPr>
          <w:rFonts w:ascii="Arial;sans-serif" w:hAnsi="Arial;sans-serif"/>
          <w:b w:val="false"/>
          <w:sz w:val="20"/>
        </w:rPr>
        <w:t>million and $0.3</w:t>
      </w:r>
      <w:r>
        <w:rPr>
          <w:rFonts w:ascii="Times New Roman" w:hAnsi="Times New Roman"/>
          <w:sz w:val="20"/>
        </w:rPr>
        <w:t xml:space="preserve"> </w:t>
      </w:r>
      <w:r>
        <w:rPr>
          <w:rFonts w:ascii="Arial;sans-serif" w:hAnsi="Arial;sans-serif"/>
          <w:b w:val="false"/>
          <w:sz w:val="20"/>
        </w:rPr>
        <w:t>million for the three months ended March 31, 2023 and 2022, respectively.</w:t>
      </w:r>
    </w:p>
    <w:p>
      <w:pPr>
        <w:pStyle w:val="TextBody"/>
        <w:bidi w:val="0"/>
        <w:spacing w:before="240" w:after="0"/>
        <w:jc w:val="center"/>
        <w:rPr>
          <w:rFonts w:ascii="Arial;sans-serif" w:hAnsi="Arial;sans-serif"/>
          <w:b w:val="false"/>
          <w:sz w:val="20"/>
        </w:rPr>
      </w:pPr>
      <w:r>
        <w:rPr>
          <w:rFonts w:ascii="Arial;sans-serif" w:hAnsi="Arial;sans-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Arial;sans-serif" w:hAnsi="Arial;sans-serif"/>
          <w:b/>
          <w:sz w:val="20"/>
        </w:rPr>
      </w:pPr>
      <w:r>
        <w:rPr>
          <w:rFonts w:ascii="Arial;sans-serif" w:hAnsi="Arial;sans-serif"/>
          <w:b/>
          <w:sz w:val="20"/>
        </w:rPr>
        <w:t>5. Prepaid Expenses and Other Current Assets</w:t>
      </w:r>
    </w:p>
    <w:p>
      <w:pPr>
        <w:pStyle w:val="TextBody"/>
        <w:bidi w:val="0"/>
        <w:spacing w:before="80" w:after="0"/>
        <w:jc w:val="both"/>
        <w:rPr>
          <w:rFonts w:ascii="Times New Roman" w:hAnsi="Times New Roman"/>
          <w:sz w:val="20"/>
        </w:rPr>
      </w:pPr>
      <w:r>
        <w:rPr>
          <w:rFonts w:ascii="Arial;sans-serif" w:hAnsi="Arial;sans-serif"/>
          <w:b w:val="false"/>
          <w:sz w:val="20"/>
        </w:rPr>
        <w:t>Prepaid expenses and other current assets consisted of the following (in thousands):</w:t>
      </w:r>
      <w:r>
        <w:rPr>
          <w:rFonts w:ascii="Times New Roman" w:hAnsi="Times New Roman"/>
          <w:sz w:val="20"/>
        </w:rPr>
        <w:t xml:space="preserve"> </w:t>
      </w:r>
    </w:p>
    <w:tbl>
      <w:tblPr>
        <w:tblW w:w="7035" w:type="dxa"/>
        <w:jc w:val="left"/>
        <w:tblInd w:w="0" w:type="dxa"/>
        <w:tblLayout w:type="fixed"/>
        <w:tblCellMar>
          <w:top w:w="28" w:type="dxa"/>
          <w:left w:w="28" w:type="dxa"/>
          <w:bottom w:w="28" w:type="dxa"/>
          <w:right w:w="28" w:type="dxa"/>
        </w:tblCellMar>
      </w:tblPr>
      <w:tblGrid>
        <w:gridCol w:w="4036"/>
        <w:gridCol w:w="146"/>
        <w:gridCol w:w="266"/>
        <w:gridCol w:w="739"/>
        <w:gridCol w:w="146"/>
        <w:gridCol w:w="146"/>
        <w:gridCol w:w="361"/>
        <w:gridCol w:w="1004"/>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Prepaid insurance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2,174</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Prepaid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4,982</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7,871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Arial;sans-serif" w:hAnsi="Arial;sans-serif"/>
          <w:b/>
          <w:sz w:val="20"/>
        </w:rPr>
      </w:pPr>
      <w:r>
        <w:rPr>
          <w:rFonts w:ascii="Arial;sans-serif" w:hAnsi="Arial;sans-serif"/>
          <w:b/>
          <w:sz w:val="20"/>
        </w:rPr>
        <w:t>6. Marketable Securities</w:t>
      </w:r>
    </w:p>
    <w:p>
      <w:pPr>
        <w:pStyle w:val="TextBody"/>
        <w:bidi w:val="0"/>
        <w:spacing w:before="80" w:after="0"/>
        <w:jc w:val="left"/>
        <w:rPr>
          <w:rFonts w:ascii="Times New Roman" w:hAnsi="Times New Roman"/>
          <w:sz w:val="20"/>
        </w:rPr>
      </w:pPr>
      <w:r>
        <w:rPr>
          <w:rFonts w:ascii="Arial;sans-serif" w:hAnsi="Arial;sans-serif"/>
          <w:b w:val="false"/>
          <w:sz w:val="20"/>
        </w:rPr>
        <w:t>Marketable securities consist of the following (in thousands):</w:t>
      </w:r>
      <w:r>
        <w:rPr>
          <w:rFonts w:ascii="Times New Roman" w:hAnsi="Times New Roman"/>
          <w:sz w:val="20"/>
        </w:rPr>
        <w:t xml:space="preserve"> </w:t>
      </w:r>
    </w:p>
    <w:p>
      <w:pPr>
        <w:pStyle w:val="TextBody"/>
        <w:bidi w:val="0"/>
        <w:spacing w:before="0" w:after="0"/>
        <w:jc w:val="left"/>
        <w:rPr/>
      </w:pPr>
      <w:r>
        <w:rPr/>
        <w:t> </w:t>
      </w:r>
    </w:p>
    <w:tbl>
      <w:tblPr>
        <w:tblW w:w="9814" w:type="dxa"/>
        <w:jc w:val="left"/>
        <w:tblInd w:w="0" w:type="dxa"/>
        <w:tblLayout w:type="fixed"/>
        <w:tblCellMar>
          <w:top w:w="28" w:type="dxa"/>
          <w:left w:w="28" w:type="dxa"/>
          <w:bottom w:w="28" w:type="dxa"/>
          <w:right w:w="28" w:type="dxa"/>
        </w:tblCellMar>
      </w:tblPr>
      <w:tblGrid>
        <w:gridCol w:w="2476"/>
        <w:gridCol w:w="146"/>
        <w:gridCol w:w="323"/>
        <w:gridCol w:w="1222"/>
        <w:gridCol w:w="146"/>
        <w:gridCol w:w="146"/>
        <w:gridCol w:w="642"/>
        <w:gridCol w:w="1053"/>
        <w:gridCol w:w="146"/>
        <w:gridCol w:w="146"/>
        <w:gridCol w:w="651"/>
        <w:gridCol w:w="1164"/>
        <w:gridCol w:w="166"/>
        <w:gridCol w:w="146"/>
        <w:gridCol w:w="220"/>
        <w:gridCol w:w="830"/>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01"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March 31,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6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51,466</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left"/>
              <w:rPr/>
            </w:pPr>
            <w:r>
              <w:rPr/>
              <w:t> </w:t>
            </w:r>
          </w:p>
        </w:tc>
        <w:tc>
          <w:tcPr>
            <w:tcW w:w="11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27,979</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U.S. Government agencies</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left"/>
              <w:rPr/>
            </w:pPr>
            <w:r>
              <w:rPr/>
              <w:t> </w:t>
            </w:r>
          </w:p>
        </w:tc>
        <w:tc>
          <w:tcPr>
            <w:tcW w:w="11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51,373</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Yankee bonds</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left"/>
              <w:rPr/>
            </w:pPr>
            <w:r>
              <w:rPr/>
              <w:t> </w:t>
            </w:r>
          </w:p>
        </w:tc>
        <w:tc>
          <w:tcPr>
            <w:tcW w:w="11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2,914</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1,298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135,075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135,030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01"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6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27,476</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left"/>
              <w:rPr/>
            </w:pPr>
            <w:r>
              <w:rPr/>
              <w:t> </w:t>
            </w:r>
          </w:p>
        </w:tc>
        <w:tc>
          <w:tcPr>
            <w:tcW w:w="11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18,099</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U.S. Government agencies</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left"/>
              <w:rPr/>
            </w:pPr>
            <w:r>
              <w:rPr/>
              <w:t> </w:t>
            </w:r>
          </w:p>
        </w:tc>
        <w:tc>
          <w:tcPr>
            <w:tcW w:w="11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21,654</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Yankee bonds</w:t>
            </w:r>
          </w:p>
        </w:tc>
        <w:tc>
          <w:tcPr>
            <w:tcW w:w="14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left"/>
              <w:rPr/>
            </w:pPr>
            <w:r>
              <w:rPr/>
              <w:t> </w:t>
            </w:r>
          </w:p>
        </w:tc>
        <w:tc>
          <w:tcPr>
            <w:tcW w:w="116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Asset-backed securities</w:t>
            </w:r>
          </w:p>
        </w:tc>
        <w:tc>
          <w:tcPr>
            <w:tcW w:w="146" w:type="dxa"/>
            <w:tcBorders/>
            <w:vAlign w:val="center"/>
          </w:tcPr>
          <w:p>
            <w:pPr>
              <w:pStyle w:val="TableContents"/>
              <w:bidi w:val="0"/>
              <w:spacing w:before="0" w:after="0"/>
              <w:ind w:left="0" w:right="0" w:hanging="0"/>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67,302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67,229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80" w:after="0"/>
        <w:jc w:val="both"/>
        <w:rPr/>
      </w:pPr>
      <w:r>
        <w:rPr/>
        <w:t> </w:t>
      </w:r>
    </w:p>
    <w:p>
      <w:pPr>
        <w:pStyle w:val="TextBody"/>
        <w:bidi w:val="0"/>
        <w:spacing w:before="80" w:after="0"/>
        <w:jc w:val="both"/>
        <w:rPr>
          <w:rFonts w:ascii="Times New Roman" w:hAnsi="Times New Roman"/>
          <w:sz w:val="20"/>
        </w:rPr>
      </w:pPr>
      <w:r>
        <w:rPr>
          <w:rFonts w:ascii="Arial;sans-serif" w:hAnsi="Arial;sans-serif"/>
          <w:b w:val="false"/>
          <w:sz w:val="20"/>
        </w:rPr>
        <w:t>As of March 31, 2023, the unrealized losses on the Company’s investments in U.S. government agencies securities and corporate bonds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br/>
      </w:r>
      <w:r>
        <w:rPr>
          <w:rFonts w:ascii="Times New Roman" w:hAnsi="Times New Roman"/>
          <w:sz w:val="20"/>
        </w:rPr>
        <w:t> </w:t>
      </w:r>
    </w:p>
    <w:p>
      <w:pPr>
        <w:pStyle w:val="TextBody"/>
        <w:bidi w:val="0"/>
        <w:spacing w:before="80" w:after="0"/>
        <w:jc w:val="both"/>
        <w:rPr>
          <w:rFonts w:ascii="Times New Roman" w:hAnsi="Times New Roman"/>
          <w:sz w:val="20"/>
        </w:rPr>
      </w:pPr>
      <w:r>
        <w:rPr>
          <w:rFonts w:ascii="Arial;sans-serif" w:hAnsi="Arial;sans-serif"/>
          <w:b w:val="false"/>
          <w:sz w:val="20"/>
        </w:rPr>
        <w:t>As of March 31, 2023, 18</w:t>
      </w:r>
      <w:r>
        <w:rPr>
          <w:rFonts w:ascii="Times New Roman" w:hAnsi="Times New Roman"/>
          <w:sz w:val="20"/>
        </w:rPr>
        <w:t xml:space="preserve"> </w:t>
      </w:r>
      <w:r>
        <w:rPr>
          <w:rFonts w:ascii="Arial;sans-serif" w:hAnsi="Arial;sans-serif"/>
          <w:b w:val="false"/>
          <w:sz w:val="20"/>
        </w:rPr>
        <w:t>marketable securities with contractual maturities of one year or less were in a unrealized loss position totaling $0.1</w:t>
      </w:r>
      <w:r>
        <w:rPr>
          <w:rFonts w:ascii="Times New Roman" w:hAnsi="Times New Roman"/>
          <w:sz w:val="20"/>
        </w:rPr>
        <w:t xml:space="preserve"> </w:t>
      </w:r>
      <w:r>
        <w:rPr>
          <w:rFonts w:ascii="Arial;sans-serif" w:hAnsi="Arial;sans-serif"/>
          <w:b w:val="false"/>
          <w:sz w:val="20"/>
        </w:rPr>
        <w:t>million.</w:t>
        <w:br/>
      </w:r>
      <w:r>
        <w:rPr>
          <w:rFonts w:ascii="Times New Roman" w:hAnsi="Times New Roman"/>
          <w:sz w:val="20"/>
        </w:rPr>
        <w:t> </w:t>
      </w:r>
    </w:p>
    <w:p>
      <w:pPr>
        <w:pStyle w:val="TextBody"/>
        <w:bidi w:val="0"/>
        <w:spacing w:before="80" w:after="0"/>
        <w:jc w:val="both"/>
        <w:rPr>
          <w:rFonts w:ascii="Times New Roman" w:hAnsi="Times New Roman"/>
          <w:sz w:val="20"/>
        </w:rPr>
      </w:pPr>
      <w:r>
        <w:rPr>
          <w:rFonts w:ascii="Arial;sans-serif" w:hAnsi="Arial;sans-serif"/>
          <w:b w:val="false"/>
          <w:sz w:val="20"/>
        </w:rPr>
        <w:t>As of March 31, 2023, all marketable securities held by the Company had remaining contractual maturities of one year or less.</w:t>
        <w:br/>
      </w:r>
      <w:r>
        <w:rPr>
          <w:rFonts w:ascii="Times New Roman" w:hAnsi="Times New Roman"/>
          <w:sz w:val="20"/>
        </w:rPr>
        <w:t> </w:t>
      </w:r>
    </w:p>
    <w:p>
      <w:pPr>
        <w:pStyle w:val="TextBody"/>
        <w:bidi w:val="0"/>
        <w:spacing w:before="80" w:after="0"/>
        <w:jc w:val="both"/>
        <w:rPr>
          <w:rFonts w:ascii="Times New Roman" w:hAnsi="Times New Roman"/>
          <w:sz w:val="20"/>
        </w:rPr>
      </w:pPr>
      <w:r>
        <w:rPr>
          <w:rFonts w:ascii="Arial;sans-serif" w:hAnsi="Arial;sans-serif"/>
          <w:b w:val="false"/>
          <w:sz w:val="20"/>
        </w:rPr>
        <w:t>There were no</w:t>
      </w:r>
      <w:r>
        <w:rPr>
          <w:rFonts w:ascii="Times New Roman" w:hAnsi="Times New Roman"/>
          <w:sz w:val="20"/>
        </w:rPr>
        <w:t xml:space="preserve"> </w:t>
      </w:r>
      <w:r>
        <w:rPr>
          <w:rFonts w:ascii="Arial;sans-serif" w:hAnsi="Arial;sans-serif"/>
          <w:b w:val="false"/>
          <w:sz w:val="20"/>
        </w:rPr>
        <w:t>impairments of the Company’s assets measured and carried at fair value during the three months ended March 31, 2023.</w:t>
      </w:r>
    </w:p>
    <w:p>
      <w:pPr>
        <w:pStyle w:val="TextBody"/>
        <w:bidi w:val="0"/>
        <w:spacing w:before="240" w:after="0"/>
        <w:jc w:val="center"/>
        <w:rPr>
          <w:rFonts w:ascii="Arial;sans-serif" w:hAnsi="Arial;sans-serif"/>
          <w:b w:val="false"/>
          <w:sz w:val="20"/>
        </w:rPr>
      </w:pPr>
      <w:r>
        <w:rPr>
          <w:rFonts w:ascii="Arial;sans-serif" w:hAnsi="Arial;sans-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Arial;sans-serif" w:hAnsi="Arial;sans-serif"/>
          <w:b w:val="false"/>
          <w:sz w:val="20"/>
        </w:rPr>
        <w:br/>
      </w:r>
      <w:r>
        <w:rPr>
          <w:rFonts w:ascii="Times New Roman" w:hAnsi="Times New Roman"/>
          <w:sz w:val="20"/>
        </w:rPr>
        <w:t> </w:t>
      </w:r>
    </w:p>
    <w:p>
      <w:pPr>
        <w:pStyle w:val="TextBody"/>
        <w:bidi w:val="0"/>
        <w:spacing w:before="0" w:after="0"/>
        <w:jc w:val="left"/>
        <w:rPr>
          <w:rFonts w:ascii="Arial;sans-serif" w:hAnsi="Arial;sans-serif"/>
          <w:b/>
          <w:sz w:val="20"/>
        </w:rPr>
      </w:pPr>
      <w:r>
        <w:rPr>
          <w:rFonts w:ascii="Arial;sans-serif" w:hAnsi="Arial;sans-serif"/>
          <w:b/>
          <w:sz w:val="20"/>
        </w:rPr>
        <w:t>7. Accrued Expenses and Other Current Liabilities</w:t>
      </w:r>
    </w:p>
    <w:p>
      <w:pPr>
        <w:pStyle w:val="TextBody"/>
        <w:bidi w:val="0"/>
        <w:spacing w:before="80" w:after="0"/>
        <w:jc w:val="both"/>
        <w:rPr>
          <w:rFonts w:ascii="Times New Roman" w:hAnsi="Times New Roman"/>
          <w:sz w:val="20"/>
        </w:rPr>
      </w:pPr>
      <w:r>
        <w:rPr>
          <w:rFonts w:ascii="Arial;sans-serif" w:hAnsi="Arial;sans-serif"/>
          <w:b w:val="false"/>
          <w:sz w:val="20"/>
        </w:rPr>
        <w:t>Accrued expenses and other current liabilities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7095" w:type="dxa"/>
        <w:jc w:val="left"/>
        <w:tblInd w:w="0" w:type="dxa"/>
        <w:tblLayout w:type="fixed"/>
        <w:tblCellMar>
          <w:top w:w="28" w:type="dxa"/>
          <w:left w:w="28" w:type="dxa"/>
          <w:bottom w:w="28" w:type="dxa"/>
          <w:right w:w="28" w:type="dxa"/>
        </w:tblCellMar>
      </w:tblPr>
      <w:tblGrid>
        <w:gridCol w:w="4096"/>
        <w:gridCol w:w="146"/>
        <w:gridCol w:w="266"/>
        <w:gridCol w:w="739"/>
        <w:gridCol w:w="146"/>
        <w:gridCol w:w="146"/>
        <w:gridCol w:w="361"/>
        <w:gridCol w:w="1004"/>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Accrued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1,543</w:t>
            </w:r>
          </w:p>
        </w:tc>
        <w:tc>
          <w:tcPr>
            <w:tcW w:w="191" w:type="dxa"/>
            <w:tcBorders/>
            <w:vAlign w:val="center"/>
          </w:tcPr>
          <w:p>
            <w:pPr>
              <w:pStyle w:val="TableContents"/>
              <w:bidi w:val="0"/>
              <w:spacing w:before="0" w:after="0"/>
              <w:ind w:left="0" w:right="0" w:hanging="0"/>
              <w:jc w:val="left"/>
              <w:rPr/>
            </w:pPr>
            <w:r>
              <w:rPr/>
              <w:t> </w:t>
            </w:r>
          </w:p>
        </w:tc>
      </w:tr>
      <w:tr>
        <w:trPr/>
        <w:tc>
          <w:tcPr>
            <w:tcW w:w="40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2,705</w:t>
            </w:r>
          </w:p>
        </w:tc>
        <w:tc>
          <w:tcPr>
            <w:tcW w:w="191" w:type="dxa"/>
            <w:tcBorders/>
            <w:vAlign w:val="center"/>
          </w:tcPr>
          <w:p>
            <w:pPr>
              <w:pStyle w:val="TableContents"/>
              <w:bidi w:val="0"/>
              <w:spacing w:before="0" w:after="0"/>
              <w:ind w:left="0" w:right="0" w:hanging="0"/>
              <w:jc w:val="left"/>
              <w:rPr/>
            </w:pPr>
            <w:r>
              <w:rPr/>
              <w:t> </w:t>
            </w:r>
          </w:p>
        </w:tc>
      </w:tr>
      <w:tr>
        <w:trPr/>
        <w:tc>
          <w:tcPr>
            <w:tcW w:w="40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4,573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Arial;sans-serif" w:hAnsi="Arial;sans-serif"/>
          <w:b/>
          <w:sz w:val="20"/>
        </w:rPr>
      </w:pPr>
      <w:r>
        <w:rPr>
          <w:rFonts w:ascii="Arial;sans-serif" w:hAnsi="Arial;sans-serif"/>
          <w:b/>
          <w:sz w:val="20"/>
        </w:rPr>
        <w:t>8. Equity</w:t>
      </w:r>
    </w:p>
    <w:p>
      <w:pPr>
        <w:pStyle w:val="TextBody"/>
        <w:bidi w:val="0"/>
        <w:spacing w:before="80" w:after="0"/>
        <w:jc w:val="both"/>
        <w:rPr>
          <w:rFonts w:ascii="Times New Roman" w:hAnsi="Times New Roman"/>
          <w:sz w:val="20"/>
        </w:rPr>
      </w:pPr>
      <w:r>
        <w:rPr>
          <w:rFonts w:ascii="Arial;sans-serif" w:hAnsi="Arial;sans-serif"/>
          <w:b w:val="false"/>
          <w:sz w:val="20"/>
        </w:rPr>
        <w:t>The Company had 150,000,000</w:t>
      </w:r>
      <w:r>
        <w:rPr>
          <w:rFonts w:ascii="Times New Roman" w:hAnsi="Times New Roman"/>
          <w:sz w:val="20"/>
        </w:rPr>
        <w:t xml:space="preserve"> </w:t>
      </w:r>
      <w:r>
        <w:rPr>
          <w:rFonts w:ascii="Arial;sans-serif" w:hAnsi="Arial;sans-serif"/>
          <w:b w:val="false"/>
          <w:sz w:val="20"/>
        </w:rPr>
        <w:t>authorized shares of common stock, par value $0.00001</w:t>
      </w:r>
      <w:r>
        <w:rPr>
          <w:rFonts w:ascii="Times New Roman" w:hAnsi="Times New Roman"/>
          <w:sz w:val="20"/>
        </w:rPr>
        <w:t xml:space="preserve"> </w:t>
      </w:r>
      <w:r>
        <w:rPr>
          <w:rFonts w:ascii="Arial;sans-serif" w:hAnsi="Arial;sans-serif"/>
          <w:b w:val="false"/>
          <w:sz w:val="20"/>
        </w:rPr>
        <w:t>per share, of which 37,800,102</w:t>
      </w:r>
      <w:r>
        <w:rPr>
          <w:rFonts w:ascii="Times New Roman" w:hAnsi="Times New Roman"/>
          <w:sz w:val="20"/>
        </w:rPr>
        <w:t xml:space="preserve"> </w:t>
      </w:r>
      <w:r>
        <w:rPr>
          <w:rFonts w:ascii="Arial;sans-serif" w:hAnsi="Arial;sans-serif"/>
          <w:b w:val="false"/>
          <w:sz w:val="20"/>
        </w:rPr>
        <w:t>and 37,771,918</w:t>
      </w:r>
      <w:r>
        <w:rPr>
          <w:rFonts w:ascii="Times New Roman" w:hAnsi="Times New Roman"/>
          <w:sz w:val="20"/>
        </w:rPr>
        <w:t xml:space="preserve"> </w:t>
      </w:r>
      <w:r>
        <w:rPr>
          <w:rFonts w:ascii="Arial;sans-serif" w:hAnsi="Arial;sans-serif"/>
          <w:b w:val="false"/>
          <w:sz w:val="20"/>
        </w:rPr>
        <w:t>shares were issued and outstanding at March 31, 2023 and December 31, 2022, respectively.</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Upon closing of the IPO on November 2, 2021, all of the Company’s outstanding shares of convertible preferred stock automatically converted into 22,550,561</w:t>
      </w:r>
      <w:r>
        <w:rPr>
          <w:rFonts w:ascii="Times New Roman" w:hAnsi="Times New Roman"/>
          <w:sz w:val="20"/>
        </w:rPr>
        <w:t xml:space="preserve"> </w:t>
      </w:r>
      <w:r>
        <w:rPr>
          <w:rFonts w:ascii="Arial;sans-serif" w:hAnsi="Arial;sans-serif"/>
          <w:b w:val="false"/>
          <w:sz w:val="20"/>
        </w:rPr>
        <w:t>shares of common stock. In addition, the Company authorized 10,000,000</w:t>
      </w:r>
      <w:r>
        <w:rPr>
          <w:rFonts w:ascii="Times New Roman" w:hAnsi="Times New Roman"/>
          <w:sz w:val="20"/>
        </w:rPr>
        <w:t xml:space="preserve"> </w:t>
      </w:r>
      <w:r>
        <w:rPr>
          <w:rFonts w:ascii="Arial;sans-serif" w:hAnsi="Arial;sans-serif"/>
          <w:b w:val="false"/>
          <w:sz w:val="20"/>
        </w:rPr>
        <w:t>shares of preferred stock, par value $0.00001</w:t>
      </w:r>
      <w:r>
        <w:rPr>
          <w:rFonts w:ascii="Times New Roman" w:hAnsi="Times New Roman"/>
          <w:sz w:val="20"/>
        </w:rPr>
        <w:t xml:space="preserve"> </w:t>
      </w:r>
      <w:r>
        <w:rPr>
          <w:rFonts w:ascii="Arial;sans-serif" w:hAnsi="Arial;sans-serif"/>
          <w:b w:val="false"/>
          <w:sz w:val="20"/>
        </w:rPr>
        <w:t>per share, all of which shares of preferred stock will be undesignated.</w:t>
      </w:r>
    </w:p>
    <w:p>
      <w:pPr>
        <w:pStyle w:val="TextBody"/>
        <w:bidi w:val="0"/>
        <w:spacing w:before="0" w:after="0"/>
        <w:jc w:val="left"/>
        <w:rPr/>
      </w:pPr>
      <w:r>
        <w:rPr/>
        <w:t> </w:t>
      </w:r>
    </w:p>
    <w:p>
      <w:pPr>
        <w:pStyle w:val="TextBody"/>
        <w:bidi w:val="0"/>
        <w:spacing w:before="0" w:after="0"/>
        <w:jc w:val="left"/>
        <w:rPr>
          <w:rFonts w:ascii="Arial;sans-serif" w:hAnsi="Arial;sans-serif"/>
          <w:b/>
          <w:sz w:val="20"/>
        </w:rPr>
      </w:pPr>
      <w:r>
        <w:rPr>
          <w:rFonts w:ascii="Arial;sans-serif" w:hAnsi="Arial;sans-serif"/>
          <w:b/>
          <w:sz w:val="20"/>
        </w:rPr>
        <w:t>Financings</w:t>
      </w:r>
    </w:p>
    <w:p>
      <w:pPr>
        <w:pStyle w:val="TextBody"/>
        <w:bidi w:val="0"/>
        <w:spacing w:before="80" w:after="0"/>
        <w:jc w:val="left"/>
        <w:rPr>
          <w:rFonts w:ascii="Times New Roman" w:hAnsi="Times New Roman"/>
          <w:sz w:val="20"/>
        </w:rPr>
      </w:pPr>
      <w:r>
        <w:rPr>
          <w:rFonts w:ascii="Arial;sans-serif" w:hAnsi="Arial;sans-serif"/>
          <w:b w:val="false"/>
          <w:sz w:val="20"/>
        </w:rPr>
        <w:t>On December 5, 2022, the Company issued and sold 7,705,000</w:t>
      </w:r>
      <w:r>
        <w:rPr>
          <w:rFonts w:ascii="Times New Roman" w:hAnsi="Times New Roman"/>
          <w:sz w:val="20"/>
        </w:rPr>
        <w:t xml:space="preserve"> </w:t>
      </w:r>
      <w:r>
        <w:rPr>
          <w:rFonts w:ascii="Arial;sans-serif" w:hAnsi="Arial;sans-serif"/>
          <w:b w:val="false"/>
          <w:sz w:val="20"/>
        </w:rPr>
        <w:t>shares of common stock, including the full exercise of the underwriters’ option to purchase additional shares at a price to the public of $12.00</w:t>
      </w:r>
      <w:r>
        <w:rPr>
          <w:rFonts w:ascii="Times New Roman" w:hAnsi="Times New Roman"/>
          <w:sz w:val="20"/>
        </w:rPr>
        <w:t xml:space="preserve"> </w:t>
      </w:r>
      <w:r>
        <w:rPr>
          <w:rFonts w:ascii="Arial;sans-serif" w:hAnsi="Arial;sans-serif"/>
          <w:b w:val="false"/>
          <w:sz w:val="20"/>
        </w:rPr>
        <w:t>per share for aggregate gross proceeds of $92.5</w:t>
      </w:r>
      <w:r>
        <w:rPr>
          <w:rFonts w:ascii="Times New Roman" w:hAnsi="Times New Roman"/>
          <w:sz w:val="20"/>
        </w:rPr>
        <w:t xml:space="preserve"> </w:t>
      </w:r>
      <w:r>
        <w:rPr>
          <w:rFonts w:ascii="Arial;sans-serif" w:hAnsi="Arial;sans-serif"/>
          <w:b w:val="false"/>
          <w:sz w:val="20"/>
        </w:rPr>
        <w:t>million in the Follow-On Offering. The Company received approximately $86.7</w:t>
      </w:r>
      <w:r>
        <w:rPr>
          <w:rFonts w:ascii="Times New Roman" w:hAnsi="Times New Roman"/>
          <w:sz w:val="20"/>
        </w:rPr>
        <w:t xml:space="preserve"> </w:t>
      </w:r>
      <w:r>
        <w:rPr>
          <w:rFonts w:ascii="Arial;sans-serif" w:hAnsi="Arial;sans-serif"/>
          <w:b w:val="false"/>
          <w:sz w:val="20"/>
        </w:rPr>
        <w:t>million in net proceeds from the Follow-On Offering after deducting underwriting discounts, commissions and offering expenses.</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Arial;sans-serif" w:hAnsi="Arial;sans-serif"/>
          <w:b w:val="false"/>
          <w:sz w:val="20"/>
        </w:rPr>
        <w:t>On November 1, 2022, the Company filed the 2022 Shelf with the SEC in relation to the registration of up to an aggregate offering price of $250.0</w:t>
      </w:r>
      <w:r>
        <w:rPr>
          <w:rFonts w:ascii="Times New Roman" w:hAnsi="Times New Roman"/>
          <w:sz w:val="20"/>
        </w:rPr>
        <w:t xml:space="preserve"> </w:t>
      </w:r>
      <w:r>
        <w:rPr>
          <w:rFonts w:ascii="Arial;sans-serif" w:hAnsi="Arial;sans-serif"/>
          <w:b w:val="false"/>
          <w:sz w:val="20"/>
        </w:rPr>
        <w:t>million of common stock, preferred stock, debt securities, warrants and units or any combination thereof. The Company also simultaneously entered into the Sales Agreement with the Sales Agent to provide for the offering, issuance and sale by the Company of up to an aggregate of $75.0</w:t>
      </w:r>
      <w:r>
        <w:rPr>
          <w:rFonts w:ascii="Times New Roman" w:hAnsi="Times New Roman"/>
          <w:sz w:val="20"/>
        </w:rPr>
        <w:t xml:space="preserve"> </w:t>
      </w:r>
      <w:r>
        <w:rPr>
          <w:rFonts w:ascii="Arial;sans-serif" w:hAnsi="Arial;sans-serif"/>
          <w:b w:val="false"/>
          <w:sz w:val="20"/>
        </w:rPr>
        <w:t>million of common stock from time to time in the ATM under the 2022 Shelf and subject to the limitations thereof. The Company issued 732,189</w:t>
      </w:r>
      <w:r>
        <w:rPr>
          <w:rFonts w:ascii="Times New Roman" w:hAnsi="Times New Roman"/>
          <w:sz w:val="20"/>
        </w:rPr>
        <w:t xml:space="preserve"> </w:t>
      </w:r>
      <w:r>
        <w:rPr>
          <w:rFonts w:ascii="Arial;sans-serif" w:hAnsi="Arial;sans-serif"/>
          <w:b w:val="false"/>
          <w:sz w:val="20"/>
        </w:rPr>
        <w:t>shares of common stock at an average price of $12.51</w:t>
      </w:r>
      <w:r>
        <w:rPr>
          <w:rFonts w:ascii="Times New Roman" w:hAnsi="Times New Roman"/>
          <w:sz w:val="20"/>
        </w:rPr>
        <w:t xml:space="preserve"> </w:t>
      </w:r>
      <w:r>
        <w:rPr>
          <w:rFonts w:ascii="Arial;sans-serif" w:hAnsi="Arial;sans-serif"/>
          <w:b w:val="false"/>
          <w:sz w:val="20"/>
        </w:rPr>
        <w:t>for aggregate gross proceeds of $9.2</w:t>
      </w:r>
      <w:r>
        <w:rPr>
          <w:rFonts w:ascii="Times New Roman" w:hAnsi="Times New Roman"/>
          <w:sz w:val="20"/>
        </w:rPr>
        <w:t xml:space="preserve"> </w:t>
      </w:r>
      <w:r>
        <w:rPr>
          <w:rFonts w:ascii="Arial;sans-serif" w:hAnsi="Arial;sans-serif"/>
          <w:b w:val="false"/>
          <w:sz w:val="20"/>
        </w:rPr>
        <w:t>million as of December 31, 2022 under the ATM, and issued no</w:t>
      </w:r>
      <w:r>
        <w:rPr>
          <w:rFonts w:ascii="Times New Roman" w:hAnsi="Times New Roman"/>
          <w:sz w:val="20"/>
        </w:rPr>
        <w:t xml:space="preserve"> </w:t>
      </w:r>
      <w:r>
        <w:rPr>
          <w:rFonts w:ascii="Arial;sans-serif" w:hAnsi="Arial;sans-serif"/>
          <w:b w:val="false"/>
          <w:sz w:val="20"/>
        </w:rPr>
        <w:t>common stock for the three months ended March 31, 2023.</w:t>
      </w:r>
    </w:p>
    <w:p>
      <w:pPr>
        <w:pStyle w:val="TextBody"/>
        <w:bidi w:val="0"/>
        <w:spacing w:before="0" w:after="0"/>
        <w:jc w:val="left"/>
        <w:rPr/>
      </w:pPr>
      <w:r>
        <w:rPr/>
        <w:t> </w:t>
      </w:r>
    </w:p>
    <w:p>
      <w:pPr>
        <w:pStyle w:val="TextBody"/>
        <w:bidi w:val="0"/>
        <w:spacing w:before="240" w:after="0"/>
        <w:jc w:val="left"/>
        <w:rPr>
          <w:rFonts w:ascii="Arial;sans-serif" w:hAnsi="Arial;sans-serif"/>
          <w:b/>
          <w:sz w:val="20"/>
        </w:rPr>
      </w:pPr>
      <w:r>
        <w:rPr>
          <w:rFonts w:ascii="Arial;sans-serif" w:hAnsi="Arial;sans-serif"/>
          <w:b/>
          <w:sz w:val="20"/>
        </w:rPr>
        <w:t>9. Stock-Based Compensation</w:t>
      </w:r>
    </w:p>
    <w:p>
      <w:pPr>
        <w:pStyle w:val="TextBody"/>
        <w:bidi w:val="0"/>
        <w:spacing w:before="0" w:after="0"/>
        <w:jc w:val="left"/>
        <w:rPr/>
      </w:pPr>
      <w:r>
        <w:rPr/>
        <w:t> </w:t>
      </w:r>
    </w:p>
    <w:p>
      <w:pPr>
        <w:pStyle w:val="TextBody"/>
        <w:bidi w:val="0"/>
        <w:spacing w:before="0" w:after="0"/>
        <w:jc w:val="left"/>
        <w:rPr>
          <w:rFonts w:ascii="Arial;sans-serif" w:hAnsi="Arial;sans-serif"/>
          <w:b/>
          <w:sz w:val="20"/>
        </w:rPr>
      </w:pPr>
      <w:r>
        <w:rPr>
          <w:rFonts w:ascii="Arial;sans-serif" w:hAnsi="Arial;sans-serif"/>
          <w:b/>
          <w:sz w:val="20"/>
        </w:rPr>
        <w:t>2018 Stock Option and Incentive Plan</w:t>
      </w:r>
    </w:p>
    <w:p>
      <w:pPr>
        <w:pStyle w:val="TextBody"/>
        <w:bidi w:val="0"/>
        <w:spacing w:before="0" w:after="0"/>
        <w:jc w:val="both"/>
        <w:rPr>
          <w:rFonts w:ascii="Arial;sans-serif" w:hAnsi="Arial;sans-serif"/>
          <w:b w:val="false"/>
          <w:sz w:val="20"/>
        </w:rPr>
      </w:pPr>
      <w:r>
        <w:rPr>
          <w:rFonts w:ascii="Arial;sans-serif" w:hAnsi="Arial;sans-serif"/>
          <w:b w:val="false"/>
          <w:sz w:val="20"/>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pStyle w:val="TextBody"/>
        <w:bidi w:val="0"/>
        <w:spacing w:before="0" w:after="0"/>
        <w:jc w:val="left"/>
        <w:rPr/>
      </w:pPr>
      <w:r>
        <w:rPr/>
        <w:t> </w:t>
      </w:r>
    </w:p>
    <w:p>
      <w:pPr>
        <w:pStyle w:val="TextBody"/>
        <w:bidi w:val="0"/>
        <w:spacing w:before="0" w:after="0"/>
        <w:jc w:val="left"/>
        <w:rPr>
          <w:rFonts w:ascii="Arial;sans-serif" w:hAnsi="Arial;sans-serif"/>
          <w:b/>
          <w:sz w:val="20"/>
        </w:rPr>
      </w:pPr>
      <w:r>
        <w:rPr>
          <w:rFonts w:ascii="Arial;sans-serif" w:hAnsi="Arial;sans-serif"/>
          <w:b/>
          <w:sz w:val="20"/>
        </w:rPr>
        <w:t>2021 Stock Option and Incentive Plan</w:t>
      </w:r>
    </w:p>
    <w:p>
      <w:pPr>
        <w:pStyle w:val="TextBody"/>
        <w:bidi w:val="0"/>
        <w:spacing w:before="0" w:after="0"/>
        <w:jc w:val="both"/>
        <w:rPr>
          <w:rFonts w:ascii="Times New Roman" w:hAnsi="Times New Roman"/>
          <w:sz w:val="20"/>
        </w:rPr>
      </w:pPr>
      <w:r>
        <w:rPr>
          <w:rFonts w:ascii="Arial;sans-serif" w:hAnsi="Arial;sans-serif"/>
          <w:b w:val="false"/>
          <w:sz w:val="20"/>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w:t>
      </w:r>
      <w:r>
        <w:rPr>
          <w:rFonts w:ascii="Times New Roman" w:hAnsi="Times New Roman"/>
          <w:sz w:val="20"/>
        </w:rPr>
        <w:t xml:space="preserve"> </w:t>
      </w:r>
      <w:r>
        <w:rPr>
          <w:rFonts w:ascii="Arial;sans-serif" w:hAnsi="Arial;sans-serif"/>
          <w:b w:val="false"/>
          <w:sz w:val="20"/>
        </w:rPr>
        <w:t>annual increase</w:t>
      </w:r>
      <w:r>
        <w:rPr>
          <w:rFonts w:ascii="Times New Roman" w:hAnsi="Times New Roman"/>
          <w:sz w:val="20"/>
        </w:rPr>
        <w:t xml:space="preserve"> </w:t>
      </w:r>
      <w:r>
        <w:rPr>
          <w:rFonts w:ascii="Arial;sans-serif" w:hAnsi="Arial;sans-serif"/>
          <w:b w:val="false"/>
          <w:sz w:val="20"/>
        </w:rPr>
        <w:t>for such year or 3,352,166</w:t>
      </w:r>
      <w:r>
        <w:rPr>
          <w:rFonts w:ascii="Times New Roman" w:hAnsi="Times New Roman"/>
          <w:sz w:val="20"/>
        </w:rPr>
        <w:t xml:space="preserve"> </w:t>
      </w:r>
      <w:r>
        <w:rPr>
          <w:rFonts w:ascii="Arial;sans-serif" w:hAnsi="Arial;sans-serif"/>
          <w:b w:val="false"/>
          <w:sz w:val="20"/>
        </w:rPr>
        <w:t>shares of common stock. On January 1, 2023, the shares reserved for issuance was increased to 6,850,986</w:t>
      </w:r>
      <w:r>
        <w:rPr>
          <w:rFonts w:ascii="Times New Roman" w:hAnsi="Times New Roman"/>
          <w:sz w:val="20"/>
        </w:rPr>
        <w:t xml:space="preserve"> </w:t>
      </w:r>
      <w:r>
        <w:rPr>
          <w:rFonts w:ascii="Arial;sans-serif" w:hAnsi="Arial;sans-serif"/>
          <w:b w:val="false"/>
          <w:sz w:val="20"/>
        </w:rPr>
        <w:t>shares.</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sz w:val="20"/>
        </w:rPr>
        <w:t>2021 Employee Stock Purchase Plan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The 2021 Employee Stock Purchase Plan, or the ESPP, was adopted by the Board on October 7, 2021, approved by the Company’s stockholders on October 22, 2021 and became effective on November 1, 2021. A total of 335,217</w:t>
      </w:r>
      <w:r>
        <w:rPr>
          <w:rFonts w:ascii="Times New Roman" w:hAnsi="Times New Roman"/>
          <w:sz w:val="20"/>
        </w:rPr>
        <w:t xml:space="preserve"> </w:t>
      </w:r>
      <w:r>
        <w:rPr>
          <w:rFonts w:ascii="Arial;sans-serif" w:hAnsi="Arial;sans-serif"/>
          <w:b w:val="false"/>
          <w:sz w:val="20"/>
        </w:rPr>
        <w:t>shares of common stock were initially reserved for issuance under this plan, which increased on January 1, 2022 and will continue to increase each January 1 thereafter through January 1, 2031, by the least of (i) 335,217</w:t>
      </w:r>
      <w:r>
        <w:rPr>
          <w:rFonts w:ascii="Times New Roman" w:hAnsi="Times New Roman"/>
          <w:sz w:val="20"/>
        </w:rPr>
        <w:t xml:space="preserve"> </w:t>
      </w:r>
      <w:r>
        <w:rPr>
          <w:rFonts w:ascii="Arial;sans-serif" w:hAnsi="Arial;sans-serif"/>
          <w:b w:val="false"/>
          <w:sz w:val="20"/>
        </w:rPr>
        <w:t>shares of common stock, (ii) 1% of the outstanding number of shares of common stock on the immediately preceding December 31 or (iii) such lesser number of shares of common stock as determined by the administrator of the ESPP. On January 1, 2023, the shares reserved for issuance was increased to 962,550</w:t>
      </w:r>
      <w:r>
        <w:rPr>
          <w:rFonts w:ascii="Times New Roman" w:hAnsi="Times New Roman"/>
          <w:sz w:val="20"/>
        </w:rPr>
        <w:t xml:space="preserve"> </w:t>
      </w:r>
      <w:r>
        <w:rPr>
          <w:rFonts w:ascii="Arial;sans-serif" w:hAnsi="Arial;sans-serif"/>
          <w:b w:val="false"/>
          <w:sz w:val="20"/>
        </w:rPr>
        <w:t>shares. The purchase price of the shares under the ESPP are at 85% of the lower of the fair market value of the Company’s common stock on the first trading day of the offering period or on the purchase date. As of March 31, 2023, 955,915</w:t>
      </w:r>
      <w:r>
        <w:rPr>
          <w:rFonts w:ascii="Times New Roman" w:hAnsi="Times New Roman"/>
          <w:sz w:val="20"/>
        </w:rPr>
        <w:t xml:space="preserve"> </w:t>
      </w:r>
      <w:r>
        <w:rPr>
          <w:rFonts w:ascii="Arial;sans-serif" w:hAnsi="Arial;sans-serif"/>
          <w:b w:val="false"/>
          <w:sz w:val="20"/>
        </w:rPr>
        <w:t>shares were available to be issued under the ESPP. The Company recognized $0.02</w:t>
      </w:r>
      <w:r>
        <w:rPr>
          <w:rFonts w:ascii="Times New Roman" w:hAnsi="Times New Roman"/>
          <w:sz w:val="20"/>
        </w:rPr>
        <w:t xml:space="preserve"> </w:t>
      </w:r>
      <w:r>
        <w:rPr>
          <w:rFonts w:ascii="Arial;sans-serif" w:hAnsi="Arial;sans-serif"/>
          <w:b w:val="false"/>
          <w:sz w:val="20"/>
        </w:rPr>
        <w:t>million share-based compensation expense related to the ESPP for the three months ended March 31, 2023.</w:t>
      </w:r>
    </w:p>
    <w:p>
      <w:pPr>
        <w:pStyle w:val="TextBody"/>
        <w:bidi w:val="0"/>
        <w:spacing w:before="0" w:after="0"/>
        <w:jc w:val="both"/>
        <w:rPr/>
      </w:pPr>
      <w:r>
        <w:rPr/>
        <w:t> </w:t>
      </w:r>
    </w:p>
    <w:p>
      <w:pPr>
        <w:pStyle w:val="TextBody"/>
        <w:bidi w:val="0"/>
        <w:spacing w:before="0" w:after="0"/>
        <w:jc w:val="both"/>
        <w:rPr>
          <w:rFonts w:ascii="Arial;sans-serif" w:hAnsi="Arial;sans-serif"/>
          <w:b/>
          <w:sz w:val="20"/>
        </w:rPr>
      </w:pPr>
      <w:r>
        <w:rPr>
          <w:rFonts w:ascii="Arial;sans-serif" w:hAnsi="Arial;sans-serif"/>
          <w:b/>
          <w:sz w:val="20"/>
        </w:rPr>
        <w:t>Stock Options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With the transfer of the available options from the 2018 Plan to the 2021 Plan, there were</w:t>
      </w:r>
      <w:r>
        <w:rPr>
          <w:rFonts w:ascii="Times New Roman" w:hAnsi="Times New Roman"/>
          <w:sz w:val="20"/>
        </w:rPr>
        <w:t xml:space="preserve"> </w:t>
      </w:r>
      <w:r>
        <w:rPr>
          <w:rFonts w:ascii="Arial;sans-serif" w:hAnsi="Arial;sans-serif"/>
          <w:b w:val="false"/>
          <w:sz w:val="20"/>
        </w:rPr>
        <w:t>4,254,417</w:t>
      </w:r>
      <w:r>
        <w:rPr>
          <w:rFonts w:ascii="Times New Roman" w:hAnsi="Times New Roman"/>
          <w:sz w:val="20"/>
        </w:rPr>
        <w:t xml:space="preserve"> </w:t>
      </w:r>
      <w:r>
        <w:rPr>
          <w:rFonts w:ascii="Arial;sans-serif" w:hAnsi="Arial;sans-serif"/>
          <w:b w:val="false"/>
          <w:sz w:val="20"/>
        </w:rPr>
        <w:t>options and restricted stock units available for grant under the 2021 Plan at March 31, 2023.</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Board is authorized to administer the 2021 Plan. In accordance with the provisions of the 2021 Plan, the Board determines the terms of Aura options and other awards issued pursuant thereto, including the following: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which employees, directors and consultants shall be granted awards;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number of shares of common stock subject to options and other awards;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exercise price of each option, which generally shall not be less than fair market value of the common stock on the date of grant;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termination or cancellation provisions applicable to options;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terms and conditions of other awards, including conditions for repurchase, termination or cancellation, issue price and repurchase price;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all other terms and conditions upon which each award may be granted in accordance with the 2018 Plan. </w:t>
      </w:r>
    </w:p>
    <w:p>
      <w:pPr>
        <w:pStyle w:val="TextBody"/>
        <w:bidi w:val="0"/>
        <w:spacing w:before="240" w:after="0"/>
        <w:jc w:val="both"/>
        <w:rPr>
          <w:rFonts w:ascii="Times New Roman" w:hAnsi="Times New Roman"/>
          <w:sz w:val="20"/>
        </w:rPr>
      </w:pPr>
      <w:r>
        <w:rPr>
          <w:rFonts w:ascii="Arial;sans-serif" w:hAnsi="Arial;sans-serif"/>
          <w:b w:val="false"/>
          <w:sz w:val="20"/>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following table summarizes stock option activity under the 2018 Plan and 2021 Plan for the three months ended March 31, 2023:</w:t>
      </w:r>
      <w:r>
        <w:rPr>
          <w:rFonts w:ascii="Times New Roman" w:hAnsi="Times New Roman"/>
          <w:sz w:val="20"/>
        </w:rPr>
        <w:t xml:space="preserve"> </w:t>
      </w:r>
    </w:p>
    <w:p>
      <w:pPr>
        <w:pStyle w:val="TextBody"/>
        <w:bidi w:val="0"/>
        <w:spacing w:before="0" w:after="0"/>
        <w:jc w:val="left"/>
        <w:rPr/>
      </w:pPr>
      <w:r>
        <w:rPr/>
        <w:t> </w:t>
      </w:r>
    </w:p>
    <w:tbl>
      <w:tblPr>
        <w:tblW w:w="9573" w:type="dxa"/>
        <w:jc w:val="left"/>
        <w:tblInd w:w="0" w:type="dxa"/>
        <w:tblLayout w:type="fixed"/>
        <w:tblCellMar>
          <w:top w:w="28" w:type="dxa"/>
          <w:left w:w="28" w:type="dxa"/>
          <w:bottom w:w="28" w:type="dxa"/>
          <w:right w:w="28" w:type="dxa"/>
        </w:tblCellMar>
      </w:tblPr>
      <w:tblGrid>
        <w:gridCol w:w="3151"/>
        <w:gridCol w:w="146"/>
        <w:gridCol w:w="146"/>
        <w:gridCol w:w="961"/>
        <w:gridCol w:w="166"/>
        <w:gridCol w:w="146"/>
        <w:gridCol w:w="274"/>
        <w:gridCol w:w="762"/>
        <w:gridCol w:w="146"/>
        <w:gridCol w:w="146"/>
        <w:gridCol w:w="272"/>
        <w:gridCol w:w="899"/>
        <w:gridCol w:w="146"/>
        <w:gridCol w:w="146"/>
        <w:gridCol w:w="437"/>
        <w:gridCol w:w="1438"/>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Weighted-</w:t>
              <w:br/>
              <w:t>Average</w:t>
              <w:br/>
              <w:t>Remaining</w:t>
              <w:br/>
              <w:t>Contractual</w:t>
              <w:br/>
              <w:t>Term</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Aggregate Intrinsic</w:t>
              <w:br/>
              <w:t>Value</w:t>
              <w:br/>
              <w:t>(in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4,303,336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6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3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16,204</w:t>
            </w:r>
          </w:p>
        </w:tc>
        <w:tc>
          <w:tcPr>
            <w:tcW w:w="191"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758,475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(21,549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Cancelled/Forfeited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(148,516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Outstanding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4,891,746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12,676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Exercisable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2,280,144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8,973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The weighted-average grant date fair value of stock options granted during the three months ended March 31, 2023 and 2022</w:t>
      </w:r>
      <w:r>
        <w:rPr>
          <w:rFonts w:ascii="Times New Roman" w:hAnsi="Times New Roman"/>
          <w:sz w:val="20"/>
        </w:rPr>
        <w:t xml:space="preserve"> </w:t>
      </w:r>
      <w:r>
        <w:rPr>
          <w:rFonts w:ascii="Arial;sans-serif" w:hAnsi="Arial;sans-serif"/>
          <w:b w:val="false"/>
          <w:sz w:val="20"/>
        </w:rPr>
        <w:t>was $7.52</w:t>
      </w:r>
      <w:r>
        <w:rPr>
          <w:rFonts w:ascii="Times New Roman" w:hAnsi="Times New Roman"/>
          <w:sz w:val="20"/>
        </w:rPr>
        <w:t xml:space="preserve"> </w:t>
      </w:r>
      <w:r>
        <w:rPr>
          <w:rFonts w:ascii="Arial;sans-serif" w:hAnsi="Arial;sans-serif"/>
          <w:b w:val="false"/>
          <w:sz w:val="20"/>
        </w:rPr>
        <w:t>and $11.98</w:t>
      </w:r>
      <w:r>
        <w:rPr>
          <w:rFonts w:ascii="Times New Roman" w:hAnsi="Times New Roman"/>
          <w:sz w:val="20"/>
        </w:rPr>
        <w:t xml:space="preserve"> </w:t>
      </w:r>
      <w:r>
        <w:rPr>
          <w:rFonts w:ascii="Arial;sans-serif" w:hAnsi="Arial;sans-serif"/>
          <w:b w:val="false"/>
          <w:sz w:val="20"/>
        </w:rPr>
        <w:t>per share, respectively. The fair value of options vested during the three months ended March 31, 2023 and 2022</w:t>
      </w:r>
      <w:r>
        <w:rPr>
          <w:rFonts w:ascii="Times New Roman" w:hAnsi="Times New Roman"/>
          <w:sz w:val="20"/>
        </w:rPr>
        <w:t xml:space="preserve"> </w:t>
      </w:r>
      <w:r>
        <w:rPr>
          <w:rFonts w:ascii="Arial;sans-serif" w:hAnsi="Arial;sans-serif"/>
          <w:b w:val="false"/>
          <w:sz w:val="20"/>
        </w:rPr>
        <w:t>was $1.2</w:t>
      </w:r>
      <w:r>
        <w:rPr>
          <w:rFonts w:ascii="Times New Roman" w:hAnsi="Times New Roman"/>
          <w:sz w:val="20"/>
        </w:rPr>
        <w:t xml:space="preserve"> </w:t>
      </w:r>
      <w:r>
        <w:rPr>
          <w:rFonts w:ascii="Arial;sans-serif" w:hAnsi="Arial;sans-serif"/>
          <w:b w:val="false"/>
          <w:sz w:val="20"/>
        </w:rPr>
        <w:t>million and $0.6</w:t>
      </w:r>
      <w:r>
        <w:rPr>
          <w:rFonts w:ascii="Times New Roman" w:hAnsi="Times New Roman"/>
          <w:sz w:val="20"/>
        </w:rPr>
        <w:t xml:space="preserve"> </w:t>
      </w:r>
      <w:r>
        <w:rPr>
          <w:rFonts w:ascii="Arial;sans-serif" w:hAnsi="Arial;sans-serif"/>
          <w:b w:val="false"/>
          <w:sz w:val="20"/>
        </w:rPr>
        <w:t>million, respectively. The total intrinsic value of options exercised was $0.1</w:t>
      </w:r>
      <w:r>
        <w:rPr>
          <w:rFonts w:ascii="Times New Roman" w:hAnsi="Times New Roman"/>
          <w:sz w:val="20"/>
        </w:rPr>
        <w:t xml:space="preserve"> </w:t>
      </w:r>
      <w:r>
        <w:rPr>
          <w:rFonts w:ascii="Arial;sans-serif" w:hAnsi="Arial;sans-serif"/>
          <w:b w:val="false"/>
          <w:sz w:val="20"/>
        </w:rPr>
        <w:t>million and $0.1</w:t>
      </w:r>
      <w:r>
        <w:rPr>
          <w:rFonts w:ascii="Times New Roman" w:hAnsi="Times New Roman"/>
          <w:sz w:val="20"/>
        </w:rPr>
        <w:t xml:space="preserve"> </w:t>
      </w:r>
      <w:r>
        <w:rPr>
          <w:rFonts w:ascii="Arial;sans-serif" w:hAnsi="Arial;sans-serif"/>
          <w:b w:val="false"/>
          <w:sz w:val="20"/>
        </w:rPr>
        <w:t>million for the three months ended March 31, 2023 and 2022, respectively.</w:t>
      </w:r>
    </w:p>
    <w:p>
      <w:pPr>
        <w:pStyle w:val="TextBody"/>
        <w:bidi w:val="0"/>
        <w:spacing w:before="240" w:after="0"/>
        <w:jc w:val="center"/>
        <w:rPr>
          <w:rFonts w:ascii="Arial;sans-serif" w:hAnsi="Arial;sans-serif"/>
          <w:b w:val="false"/>
          <w:sz w:val="20"/>
        </w:rPr>
      </w:pPr>
      <w:r>
        <w:rPr>
          <w:rFonts w:ascii="Arial;sans-serif" w:hAnsi="Arial;sans-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The fair value of the stock options issued for the three months ended March 31, 2023 and 2022 was measured with the following weighted-average assumptions:</w:t>
      </w:r>
      <w:r>
        <w:rPr>
          <w:rFonts w:ascii="Times New Roman" w:hAnsi="Times New Roman"/>
          <w:sz w:val="20"/>
        </w:rPr>
        <w:t xml:space="preserve"> </w:t>
      </w:r>
    </w:p>
    <w:p>
      <w:pPr>
        <w:pStyle w:val="TextBody"/>
        <w:bidi w:val="0"/>
        <w:spacing w:before="0" w:after="0"/>
        <w:jc w:val="left"/>
        <w:rPr/>
      </w:pPr>
      <w:r>
        <w:rPr/>
        <w:t> </w:t>
      </w:r>
    </w:p>
    <w:tbl>
      <w:tblPr>
        <w:tblW w:w="6281" w:type="dxa"/>
        <w:jc w:val="left"/>
        <w:tblInd w:w="0" w:type="dxa"/>
        <w:tblLayout w:type="fixed"/>
        <w:tblCellMar>
          <w:top w:w="28" w:type="dxa"/>
          <w:left w:w="28" w:type="dxa"/>
          <w:bottom w:w="28" w:type="dxa"/>
          <w:right w:w="28" w:type="dxa"/>
        </w:tblCellMar>
      </w:tblPr>
      <w:tblGrid>
        <w:gridCol w:w="3766"/>
        <w:gridCol w:w="146"/>
        <w:gridCol w:w="157"/>
        <w:gridCol w:w="630"/>
        <w:gridCol w:w="307"/>
        <w:gridCol w:w="157"/>
        <w:gridCol w:w="157"/>
        <w:gridCol w:w="630"/>
        <w:gridCol w:w="33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3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left"/>
              <w:rPr/>
            </w:pPr>
            <w:r>
              <w:rPr/>
              <w:t> </w:t>
            </w:r>
          </w:p>
        </w:tc>
        <w:tc>
          <w:tcPr>
            <w:tcW w:w="7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3.53</w:t>
            </w:r>
          </w:p>
        </w:tc>
        <w:tc>
          <w:tcPr>
            <w:tcW w:w="30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1.56</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7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6.06</w:t>
            </w:r>
          </w:p>
        </w:tc>
        <w:tc>
          <w:tcPr>
            <w:tcW w:w="30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6.01</w:t>
            </w:r>
          </w:p>
        </w:tc>
        <w:tc>
          <w:tcPr>
            <w:tcW w:w="331" w:type="dxa"/>
            <w:tcBorders/>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volatility of the underlying stock</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84.83</w:t>
            </w:r>
          </w:p>
        </w:tc>
        <w:tc>
          <w:tcPr>
            <w:tcW w:w="30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73.02</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7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dividend rate</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both"/>
        <w:rPr>
          <w:rFonts w:ascii="Arial;sans-serif" w:hAnsi="Arial;sans-serif"/>
          <w:b/>
          <w:i/>
          <w:sz w:val="20"/>
        </w:rPr>
      </w:pPr>
      <w:r>
        <w:rPr>
          <w:rFonts w:ascii="Arial;sans-serif" w:hAnsi="Arial;sans-serif"/>
          <w:b/>
          <w:i/>
          <w:sz w:val="20"/>
        </w:rPr>
        <w:t>Restricted Stock Units</w:t>
      </w:r>
    </w:p>
    <w:p>
      <w:pPr>
        <w:pStyle w:val="TextBody"/>
        <w:bidi w:val="0"/>
        <w:spacing w:before="0" w:after="0"/>
        <w:jc w:val="both"/>
        <w:rPr>
          <w:rFonts w:ascii="Arial;sans-serif" w:hAnsi="Arial;sans-serif"/>
          <w:b w:val="false"/>
          <w:sz w:val="20"/>
        </w:rPr>
      </w:pPr>
      <w:r>
        <w:rPr>
          <w:rFonts w:ascii="Arial;sans-serif" w:hAnsi="Arial;sans-serif"/>
          <w:b w:val="false"/>
          <w:sz w:val="20"/>
        </w:rPr>
        <w:t>The Company has granted restricted stock units with service-based vesting conditions. Unvested shares of restricted common stock may not be sold or transferred by the holder.</w:t>
      </w:r>
    </w:p>
    <w:p>
      <w:pPr>
        <w:pStyle w:val="TextBody"/>
        <w:bidi w:val="0"/>
        <w:spacing w:before="0" w:after="0"/>
        <w:jc w:val="both"/>
        <w:rPr>
          <w:rFonts w:ascii="Arial;sans-serif" w:hAnsi="Arial;sans-serif"/>
          <w:b w:val="false"/>
          <w:sz w:val="20"/>
        </w:rPr>
      </w:pPr>
      <w:r>
        <w:rPr>
          <w:rFonts w:ascii="Arial;sans-serif" w:hAnsi="Arial;sans-serif"/>
          <w:b w:val="false"/>
          <w:sz w:val="20"/>
        </w:rPr>
        <w:t>A summary of the restricted stock units activity during the three months ended March 31, 2023 is as follows:</w:t>
      </w:r>
    </w:p>
    <w:p>
      <w:pPr>
        <w:pStyle w:val="TextBody"/>
        <w:bidi w:val="0"/>
        <w:spacing w:before="0" w:after="0"/>
        <w:jc w:val="both"/>
        <w:rPr/>
      </w:pPr>
      <w:r>
        <w:rPr/>
        <w:t> </w:t>
      </w:r>
    </w:p>
    <w:tbl>
      <w:tblPr>
        <w:tblW w:w="7820" w:type="dxa"/>
        <w:jc w:val="left"/>
        <w:tblInd w:w="0" w:type="dxa"/>
        <w:tblLayout w:type="fixed"/>
        <w:tblCellMar>
          <w:top w:w="28" w:type="dxa"/>
          <w:left w:w="28" w:type="dxa"/>
          <w:bottom w:w="28" w:type="dxa"/>
          <w:right w:w="28" w:type="dxa"/>
        </w:tblCellMar>
      </w:tblPr>
      <w:tblGrid>
        <w:gridCol w:w="2926"/>
        <w:gridCol w:w="146"/>
        <w:gridCol w:w="333"/>
        <w:gridCol w:w="1827"/>
        <w:gridCol w:w="166"/>
        <w:gridCol w:w="146"/>
        <w:gridCol w:w="551"/>
        <w:gridCol w:w="1534"/>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Restricted Stock 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Weighted-</w:t>
              <w:br/>
              <w:t>Average</w:t>
              <w:br/>
              <w:t>Grant 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Unvested at December 31, 2022</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182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153,950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3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182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423,620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left"/>
              <w:rPr/>
            </w:pPr>
            <w:r>
              <w:rPr/>
              <w:t> </w:t>
            </w:r>
          </w:p>
        </w:tc>
        <w:tc>
          <w:tcPr>
            <w:tcW w:w="153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10.17</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Vested/Released</w:t>
            </w:r>
          </w:p>
        </w:tc>
        <w:tc>
          <w:tcPr>
            <w:tcW w:w="1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 </w:t>
            </w:r>
          </w:p>
        </w:tc>
        <w:tc>
          <w:tcPr>
            <w:tcW w:w="18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left"/>
              <w:rPr/>
            </w:pPr>
            <w:r>
              <w:rPr/>
              <w:t> </w:t>
            </w:r>
          </w:p>
        </w:tc>
        <w:tc>
          <w:tcPr>
            <w:tcW w:w="153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Unvested at March 31, 2023</w:t>
            </w:r>
          </w:p>
        </w:tc>
        <w:tc>
          <w:tcPr>
            <w:tcW w:w="146" w:type="dxa"/>
            <w:tcBorders/>
            <w:vAlign w:val="center"/>
          </w:tcPr>
          <w:p>
            <w:pPr>
              <w:pStyle w:val="TableContents"/>
              <w:bidi w:val="0"/>
              <w:spacing w:before="0" w:after="0"/>
              <w:ind w:left="0" w:right="0" w:hanging="0"/>
              <w:jc w:val="left"/>
              <w:rPr/>
            </w:pPr>
            <w:r>
              <w:rPr/>
              <w:t> </w:t>
            </w:r>
          </w:p>
        </w:tc>
        <w:tc>
          <w:tcPr>
            <w:tcW w:w="3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566,064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Arial;sans-serif" w:hAnsi="Arial;sans-serif"/>
          <w:b w:val="false"/>
          <w:sz w:val="20"/>
        </w:rPr>
        <w:t>As a result of the 2021 Equity Incentive Plan, the Company granted restricted stock units which vest in increments of 25% annually over a period of four years. During the three months ended March 31, 2023, no</w:t>
      </w:r>
      <w:r>
        <w:rPr>
          <w:rFonts w:ascii="Times New Roman" w:hAnsi="Times New Roman"/>
          <w:sz w:val="20"/>
        </w:rPr>
        <w:t xml:space="preserve"> </w:t>
      </w:r>
      <w:r>
        <w:rPr>
          <w:rFonts w:ascii="Arial;sans-serif" w:hAnsi="Arial;sans-serif"/>
          <w:b w:val="false"/>
          <w:sz w:val="20"/>
        </w:rPr>
        <w:t>restricted stock units vested.</w:t>
      </w:r>
    </w:p>
    <w:p>
      <w:pPr>
        <w:pStyle w:val="TextBody"/>
        <w:bidi w:val="0"/>
        <w:spacing w:before="0" w:after="0"/>
        <w:jc w:val="left"/>
        <w:rPr/>
      </w:pPr>
      <w:r>
        <w:rPr/>
        <w:t> </w:t>
      </w:r>
    </w:p>
    <w:p>
      <w:pPr>
        <w:pStyle w:val="TextBody"/>
        <w:bidi w:val="0"/>
        <w:spacing w:before="0" w:after="0"/>
        <w:jc w:val="both"/>
        <w:rPr>
          <w:rFonts w:ascii="Arial;sans-serif" w:hAnsi="Arial;sans-serif"/>
          <w:b/>
          <w:i/>
          <w:sz w:val="20"/>
        </w:rPr>
      </w:pPr>
      <w:r>
        <w:rPr>
          <w:rFonts w:ascii="Arial;sans-serif" w:hAnsi="Arial;sans-serif"/>
          <w:b/>
          <w:i/>
          <w:sz w:val="20"/>
        </w:rPr>
        <w:t>Stock-based Compensation Expense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The Company recorded stock-based compensation expense as follows (in thousands):</w:t>
      </w:r>
      <w:r>
        <w:rPr>
          <w:rFonts w:ascii="Times New Roman" w:hAnsi="Times New Roman"/>
          <w:sz w:val="20"/>
        </w:rPr>
        <w:t xml:space="preserve"> </w:t>
      </w:r>
    </w:p>
    <w:p>
      <w:pPr>
        <w:pStyle w:val="TextBody"/>
        <w:bidi w:val="0"/>
        <w:spacing w:before="0" w:after="0"/>
        <w:jc w:val="left"/>
        <w:rPr/>
      </w:pPr>
      <w:r>
        <w:rPr/>
        <w:t> </w:t>
      </w:r>
    </w:p>
    <w:tbl>
      <w:tblPr>
        <w:tblW w:w="4866" w:type="dxa"/>
        <w:jc w:val="left"/>
        <w:tblInd w:w="0" w:type="dxa"/>
        <w:tblLayout w:type="fixed"/>
        <w:tblCellMar>
          <w:top w:w="28" w:type="dxa"/>
          <w:left w:w="28" w:type="dxa"/>
          <w:bottom w:w="28" w:type="dxa"/>
          <w:right w:w="28" w:type="dxa"/>
        </w:tblCellMar>
      </w:tblPr>
      <w:tblGrid>
        <w:gridCol w:w="2491"/>
        <w:gridCol w:w="146"/>
        <w:gridCol w:w="228"/>
        <w:gridCol w:w="634"/>
        <w:gridCol w:w="157"/>
        <w:gridCol w:w="157"/>
        <w:gridCol w:w="228"/>
        <w:gridCol w:w="634"/>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38" w:type="dxa"/>
            <w:gridSpan w:val="6"/>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19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left"/>
              <w:rPr/>
            </w:pPr>
            <w:r>
              <w:rPr/>
              <w:t> </w:t>
            </w:r>
          </w:p>
        </w:tc>
        <w:tc>
          <w:tcPr>
            <w:tcW w:w="8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767</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555</w:t>
            </w:r>
          </w:p>
        </w:tc>
        <w:tc>
          <w:tcPr>
            <w:tcW w:w="19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1,146</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1,913</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1,594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sz w:val="20"/>
        </w:rPr>
        <w:t>As of March 31, 2023, there was $16.4</w:t>
      </w:r>
      <w:r>
        <w:rPr>
          <w:rFonts w:ascii="Times New Roman" w:hAnsi="Times New Roman"/>
          <w:sz w:val="20"/>
        </w:rPr>
        <w:t xml:space="preserve"> </w:t>
      </w:r>
      <w:r>
        <w:rPr>
          <w:rFonts w:ascii="Arial;sans-serif" w:hAnsi="Arial;sans-serif"/>
          <w:b w:val="false"/>
          <w:sz w:val="20"/>
        </w:rPr>
        <w:t>million of unrecognized compensation expense related to stock options, which is expected to be recognized over a weighted-average period of 2.62</w:t>
      </w:r>
      <w:r>
        <w:rPr>
          <w:rFonts w:ascii="Times New Roman" w:hAnsi="Times New Roman"/>
          <w:sz w:val="20"/>
        </w:rPr>
        <w:t xml:space="preserve"> </w:t>
      </w:r>
      <w:r>
        <w:rPr>
          <w:rFonts w:ascii="Arial;sans-serif" w:hAnsi="Arial;sans-serif"/>
          <w:b w:val="false"/>
          <w:sz w:val="20"/>
        </w:rPr>
        <w:t>years.</w:t>
      </w:r>
    </w:p>
    <w:p>
      <w:pPr>
        <w:pStyle w:val="TextBody"/>
        <w:bidi w:val="0"/>
        <w:spacing w:before="0" w:after="0"/>
        <w:jc w:val="both"/>
        <w:rPr>
          <w:rFonts w:ascii="Times New Roman" w:hAnsi="Times New Roman"/>
          <w:sz w:val="20"/>
        </w:rPr>
      </w:pPr>
      <w:r>
        <w:rPr>
          <w:rFonts w:ascii="Arial;sans-serif" w:hAnsi="Arial;sans-serif"/>
          <w:b w:val="false"/>
          <w:sz w:val="20"/>
        </w:rPr>
        <w:t>As of March 31, 2023, there was $5.8</w:t>
      </w:r>
      <w:r>
        <w:rPr>
          <w:rFonts w:ascii="Times New Roman" w:hAnsi="Times New Roman"/>
          <w:sz w:val="20"/>
        </w:rPr>
        <w:t xml:space="preserve"> </w:t>
      </w:r>
      <w:r>
        <w:rPr>
          <w:rFonts w:ascii="Arial;sans-serif" w:hAnsi="Arial;sans-serif"/>
          <w:b w:val="false"/>
          <w:sz w:val="20"/>
        </w:rPr>
        <w:t>million of unrecognized compensation expense related to restricted stock units, which is expected to be recognized over a weighted-average period of 3.45</w:t>
      </w:r>
      <w:r>
        <w:rPr>
          <w:rFonts w:ascii="Times New Roman" w:hAnsi="Times New Roman"/>
          <w:sz w:val="20"/>
        </w:rPr>
        <w:t xml:space="preserve"> </w:t>
      </w:r>
      <w:r>
        <w:rPr>
          <w:rFonts w:ascii="Arial;sans-serif" w:hAnsi="Arial;sans-serif"/>
          <w:b w:val="false"/>
          <w:sz w:val="20"/>
        </w:rPr>
        <w:t>years.</w:t>
      </w:r>
    </w:p>
    <w:p>
      <w:pPr>
        <w:pStyle w:val="TextBody"/>
        <w:bidi w:val="0"/>
        <w:spacing w:before="240" w:after="0"/>
        <w:jc w:val="left"/>
        <w:rPr>
          <w:rFonts w:ascii="Arial;sans-serif" w:hAnsi="Arial;sans-serif"/>
          <w:b/>
          <w:sz w:val="20"/>
        </w:rPr>
      </w:pPr>
      <w:r>
        <w:rPr>
          <w:rFonts w:ascii="Arial;sans-serif" w:hAnsi="Arial;sans-serif"/>
          <w:b/>
          <w:sz w:val="20"/>
        </w:rPr>
        <w:t>10. Common Stock Warrants</w:t>
      </w:r>
    </w:p>
    <w:p>
      <w:pPr>
        <w:pStyle w:val="TextBody"/>
        <w:bidi w:val="0"/>
        <w:spacing w:before="80" w:after="0"/>
        <w:jc w:val="both"/>
        <w:rPr>
          <w:rFonts w:ascii="Times New Roman" w:hAnsi="Times New Roman"/>
          <w:sz w:val="20"/>
        </w:rPr>
      </w:pPr>
      <w:r>
        <w:rPr>
          <w:rFonts w:ascii="Arial;sans-serif" w:hAnsi="Arial;sans-serif"/>
          <w:b w:val="false"/>
          <w:sz w:val="20"/>
        </w:rPr>
        <w:t>In February 2015 and May 2015, the Company issued warrants to purchase 1,650,098</w:t>
      </w:r>
      <w:r>
        <w:rPr>
          <w:rFonts w:ascii="Times New Roman" w:hAnsi="Times New Roman"/>
          <w:sz w:val="20"/>
        </w:rPr>
        <w:t xml:space="preserve"> </w:t>
      </w:r>
      <w:r>
        <w:rPr>
          <w:rFonts w:ascii="Arial;sans-serif" w:hAnsi="Arial;sans-serif"/>
          <w:b w:val="false"/>
          <w:sz w:val="20"/>
        </w:rPr>
        <w:t>and 887,536</w:t>
      </w:r>
      <w:r>
        <w:rPr>
          <w:rFonts w:ascii="Times New Roman" w:hAnsi="Times New Roman"/>
          <w:sz w:val="20"/>
        </w:rPr>
        <w:t xml:space="preserve"> </w:t>
      </w:r>
      <w:r>
        <w:rPr>
          <w:rFonts w:ascii="Arial;sans-serif" w:hAnsi="Arial;sans-serif"/>
          <w:b w:val="false"/>
          <w:sz w:val="20"/>
        </w:rPr>
        <w:t>shares of Series B convertible preferred stock, respectively, at an exercise price of $1.24235</w:t>
      </w:r>
      <w:r>
        <w:rPr>
          <w:rFonts w:ascii="Times New Roman" w:hAnsi="Times New Roman"/>
          <w:sz w:val="20"/>
        </w:rPr>
        <w:t xml:space="preserve"> </w:t>
      </w:r>
      <w:r>
        <w:rPr>
          <w:rFonts w:ascii="Arial;sans-serif" w:hAnsi="Arial;sans-serif"/>
          <w:b w:val="false"/>
          <w:sz w:val="20"/>
        </w:rPr>
        <w:t xml:space="preserve">per share (the </w:t>
      </w:r>
      <w:r>
        <w:rPr>
          <w:rFonts w:ascii="Times New Roman" w:hAnsi="Times New Roman"/>
          <w:sz w:val="20"/>
        </w:rPr>
        <w:t>“</w:t>
      </w:r>
      <w:r>
        <w:rPr>
          <w:rFonts w:ascii="Arial;sans-serif" w:hAnsi="Arial;sans-serif"/>
          <w:b w:val="false"/>
          <w:sz w:val="20"/>
        </w:rPr>
        <w:t>Series B Warrants”). Each Series B Warrant was immediately exercisable and expires ten years</w:t>
      </w:r>
      <w:r>
        <w:rPr>
          <w:rFonts w:ascii="Times New Roman" w:hAnsi="Times New Roman"/>
          <w:sz w:val="20"/>
        </w:rPr>
        <w:t xml:space="preserve"> </w:t>
      </w:r>
      <w:r>
        <w:rPr>
          <w:rFonts w:ascii="Arial;sans-serif" w:hAnsi="Arial;sans-serif"/>
          <w:b w:val="false"/>
          <w:sz w:val="20"/>
        </w:rPr>
        <w:t>from the original date of issuance. Pursuant to FASB ASC Topic 480, Distinguishing Liabilities from Equity, the Series B Warrants were classified as a liability and were re-measured to fair value at each balance sheet date. A total of 173,827</w:t>
      </w:r>
      <w:r>
        <w:rPr>
          <w:rFonts w:ascii="Times New Roman" w:hAnsi="Times New Roman"/>
          <w:sz w:val="20"/>
        </w:rPr>
        <w:t xml:space="preserve"> </w:t>
      </w:r>
      <w:r>
        <w:rPr>
          <w:rFonts w:ascii="Arial;sans-serif" w:hAnsi="Arial;sans-serif"/>
          <w:b w:val="false"/>
          <w:sz w:val="20"/>
        </w:rPr>
        <w:t>of the Series B Warrants were outstanding and were converted into warrants to purchase 12,686</w:t>
      </w:r>
      <w:r>
        <w:rPr>
          <w:rFonts w:ascii="Times New Roman" w:hAnsi="Times New Roman"/>
          <w:sz w:val="20"/>
        </w:rPr>
        <w:t xml:space="preserve"> </w:t>
      </w:r>
      <w:r>
        <w:rPr>
          <w:rFonts w:ascii="Arial;sans-serif" w:hAnsi="Arial;sans-serif"/>
          <w:b w:val="false"/>
          <w:sz w:val="20"/>
        </w:rPr>
        <w:t>shares of common stock with an exercise price of $17.03</w:t>
      </w:r>
      <w:r>
        <w:rPr>
          <w:rFonts w:ascii="Times New Roman" w:hAnsi="Times New Roman"/>
          <w:sz w:val="20"/>
        </w:rPr>
        <w:t xml:space="preserve"> </w:t>
      </w:r>
      <w:r>
        <w:rPr>
          <w:rFonts w:ascii="Arial;sans-serif" w:hAnsi="Arial;sans-serif"/>
          <w:b w:val="false"/>
          <w:sz w:val="20"/>
        </w:rPr>
        <w:t>upon the completion of the IPO in November 2021. As a result, the 12,686</w:t>
      </w:r>
      <w:r>
        <w:rPr>
          <w:rFonts w:ascii="Times New Roman" w:hAnsi="Times New Roman"/>
          <w:sz w:val="20"/>
        </w:rPr>
        <w:t xml:space="preserve"> </w:t>
      </w:r>
      <w:r>
        <w:rPr>
          <w:rFonts w:ascii="Arial;sans-serif" w:hAnsi="Arial;sans-serif"/>
          <w:b w:val="false"/>
          <w:sz w:val="20"/>
        </w:rPr>
        <w:t>common stock warrants were converted into equity instruments and remain outstanding as of March 31, 2023.</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Arial;sans-serif" w:hAnsi="Arial;sans-serif"/>
          <w:b/>
          <w:sz w:val="20"/>
        </w:rPr>
      </w:pPr>
      <w:r>
        <w:rPr>
          <w:rFonts w:ascii="Arial;sans-serif" w:hAnsi="Arial;sans-serif"/>
          <w:b/>
          <w:sz w:val="20"/>
        </w:rPr>
        <w:t>11. Compensation</w:t>
      </w:r>
    </w:p>
    <w:p>
      <w:pPr>
        <w:pStyle w:val="TextBody"/>
        <w:bidi w:val="0"/>
        <w:spacing w:before="80" w:after="0"/>
        <w:jc w:val="both"/>
        <w:rPr>
          <w:rFonts w:ascii="Times New Roman" w:hAnsi="Times New Roman"/>
          <w:sz w:val="20"/>
        </w:rPr>
      </w:pPr>
      <w:r>
        <w:rPr>
          <w:rFonts w:ascii="Arial;sans-serif" w:hAnsi="Arial;sans-serif"/>
          <w:b w:val="false"/>
          <w:sz w:val="20"/>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$0.2</w:t>
      </w:r>
      <w:r>
        <w:rPr>
          <w:rFonts w:ascii="Times New Roman" w:hAnsi="Times New Roman"/>
          <w:sz w:val="20"/>
        </w:rPr>
        <w:t xml:space="preserve"> </w:t>
      </w:r>
      <w:r>
        <w:rPr>
          <w:rFonts w:ascii="Arial;sans-serif" w:hAnsi="Arial;sans-serif"/>
          <w:b w:val="false"/>
          <w:sz w:val="20"/>
        </w:rPr>
        <w:t>million and $0.1</w:t>
      </w:r>
      <w:r>
        <w:rPr>
          <w:rFonts w:ascii="Times New Roman" w:hAnsi="Times New Roman"/>
          <w:sz w:val="20"/>
        </w:rPr>
        <w:t xml:space="preserve"> </w:t>
      </w:r>
      <w:r>
        <w:rPr>
          <w:rFonts w:ascii="Arial;sans-serif" w:hAnsi="Arial;sans-serif"/>
          <w:b w:val="false"/>
          <w:sz w:val="20"/>
        </w:rPr>
        <w:t>million for the three months ended March 31, 2023 and 2022, respectively.</w:t>
      </w:r>
    </w:p>
    <w:p>
      <w:pPr>
        <w:pStyle w:val="TextBody"/>
        <w:bidi w:val="0"/>
        <w:spacing w:before="240" w:after="0"/>
        <w:jc w:val="left"/>
        <w:rPr>
          <w:rFonts w:ascii="Arial;sans-serif" w:hAnsi="Arial;sans-serif"/>
          <w:b/>
          <w:sz w:val="20"/>
        </w:rPr>
      </w:pPr>
      <w:r>
        <w:rPr>
          <w:rFonts w:ascii="Arial;sans-serif" w:hAnsi="Arial;sans-serif"/>
          <w:b/>
          <w:sz w:val="20"/>
        </w:rPr>
        <w:t>12. Commitments and Contingencies</w:t>
      </w:r>
    </w:p>
    <w:p>
      <w:pPr>
        <w:pStyle w:val="TextBody"/>
        <w:bidi w:val="0"/>
        <w:spacing w:before="80" w:after="0"/>
        <w:jc w:val="left"/>
        <w:rPr>
          <w:rFonts w:ascii="Times New Roman" w:hAnsi="Times New Roman"/>
          <w:sz w:val="20"/>
        </w:rPr>
      </w:pPr>
      <w:r>
        <w:rPr>
          <w:rFonts w:ascii="Arial;sans-serif" w:hAnsi="Arial;sans-serif"/>
          <w:b/>
          <w:i/>
          <w:sz w:val="20"/>
        </w:rPr>
        <w:t>Lease Commitments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Company has historically entered into lease arrangements for its facilities. The Company has one</w:t>
      </w:r>
      <w:r>
        <w:rPr>
          <w:rFonts w:ascii="Times New Roman" w:hAnsi="Times New Roman"/>
          <w:sz w:val="20"/>
        </w:rPr>
        <w:t xml:space="preserve"> </w:t>
      </w:r>
      <w:r>
        <w:rPr>
          <w:rFonts w:ascii="Arial;sans-serif" w:hAnsi="Arial;sans-serif"/>
          <w:b w:val="false"/>
          <w:sz w:val="20"/>
        </w:rPr>
        <w:t>operating lease for its office and laboratory facility with required future minimum payments as of March 31, 2023 and one</w:t>
      </w:r>
      <w:r>
        <w:rPr>
          <w:rFonts w:ascii="Times New Roman" w:hAnsi="Times New Roman"/>
          <w:sz w:val="20"/>
        </w:rPr>
        <w:t xml:space="preserve"> </w:t>
      </w:r>
      <w:r>
        <w:rPr>
          <w:rFonts w:ascii="Arial;sans-serif" w:hAnsi="Arial;sans-serif"/>
          <w:b w:val="false"/>
          <w:sz w:val="20"/>
        </w:rPr>
        <w:t>operating lease that was terminated in August 2022.</w:t>
      </w:r>
    </w:p>
    <w:p>
      <w:pPr>
        <w:pStyle w:val="TextBody"/>
        <w:bidi w:val="0"/>
        <w:spacing w:before="240" w:after="0"/>
        <w:jc w:val="both"/>
        <w:rPr>
          <w:rFonts w:ascii="Times New Roman" w:hAnsi="Times New Roman"/>
          <w:sz w:val="20"/>
        </w:rPr>
      </w:pPr>
      <w:r>
        <w:rPr>
          <w:rFonts w:ascii="Arial;sans-serif" w:hAnsi="Arial;sans-serif"/>
          <w:b w:val="false"/>
          <w:sz w:val="20"/>
        </w:rPr>
        <w:t>On May 16, 2022, the Company entered into an office and laboratory lease in Boston, MA with an initial 10-year term and one renewal option to extend the lease for an additional seven years. The lease commenced on August 1, 2022, and estimated payments due under the initial term total $35.2</w:t>
      </w:r>
      <w:r>
        <w:rPr>
          <w:rFonts w:ascii="Times New Roman" w:hAnsi="Times New Roman"/>
          <w:sz w:val="20"/>
        </w:rPr>
        <w:t xml:space="preserve"> </w:t>
      </w:r>
      <w:r>
        <w:rPr>
          <w:rFonts w:ascii="Arial;sans-serif" w:hAnsi="Arial;sans-serif"/>
          <w:b w:val="false"/>
          <w:sz w:val="20"/>
        </w:rPr>
        <w:t>million. The lease requires a letter of credit totaling $0.8</w:t>
      </w:r>
      <w:r>
        <w:rPr>
          <w:rFonts w:ascii="Times New Roman" w:hAnsi="Times New Roman"/>
          <w:sz w:val="20"/>
        </w:rPr>
        <w:t xml:space="preserve"> </w:t>
      </w:r>
      <w:r>
        <w:rPr>
          <w:rFonts w:ascii="Arial;sans-serif" w:hAnsi="Arial;sans-serif"/>
          <w:b w:val="false"/>
          <w:sz w:val="20"/>
        </w:rPr>
        <w:t>million which is classified as long-term restricted cash and deposits on the consolidated balance sheet. The landlord will reimburse the Company up to $0.5</w:t>
      </w:r>
      <w:r>
        <w:rPr>
          <w:rFonts w:ascii="Times New Roman" w:hAnsi="Times New Roman"/>
          <w:sz w:val="20"/>
        </w:rPr>
        <w:t xml:space="preserve"> </w:t>
      </w:r>
      <w:r>
        <w:rPr>
          <w:rFonts w:ascii="Arial;sans-serif" w:hAnsi="Arial;sans-serif"/>
          <w:b w:val="false"/>
          <w:sz w:val="20"/>
        </w:rPr>
        <w:t>million for certain costs related to expansion of the laboratory space. As of March 31, 2023, the Company has incurred $0.1</w:t>
      </w:r>
      <w:r>
        <w:rPr>
          <w:rFonts w:ascii="Times New Roman" w:hAnsi="Times New Roman"/>
          <w:sz w:val="20"/>
        </w:rPr>
        <w:t xml:space="preserve"> </w:t>
      </w:r>
      <w:r>
        <w:rPr>
          <w:rFonts w:ascii="Arial;sans-serif" w:hAnsi="Arial;sans-serif"/>
          <w:b w:val="false"/>
          <w:sz w:val="20"/>
        </w:rPr>
        <w:t>million of expenses related to the expansion.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following table contains a summary of the lease costs recognized under ASC 842 and other information pertaining to the Company’s leases for the three months ended March 31, 2023 and 2022 (in thousands):</w:t>
      </w:r>
      <w:r>
        <w:rPr>
          <w:rFonts w:ascii="Times New Roman" w:hAnsi="Times New Roman"/>
          <w:sz w:val="20"/>
        </w:rPr>
        <w:t xml:space="preserve"> </w:t>
      </w:r>
    </w:p>
    <w:p>
      <w:pPr>
        <w:pStyle w:val="TextBody"/>
        <w:bidi w:val="0"/>
        <w:spacing w:before="0" w:after="0"/>
        <w:jc w:val="left"/>
        <w:rPr/>
      </w:pPr>
      <w:r>
        <w:rPr/>
        <w:t> </w:t>
      </w:r>
    </w:p>
    <w:tbl>
      <w:tblPr>
        <w:tblW w:w="4477" w:type="dxa"/>
        <w:jc w:val="left"/>
        <w:tblInd w:w="0" w:type="dxa"/>
        <w:tblLayout w:type="fixed"/>
        <w:tblCellMar>
          <w:top w:w="28" w:type="dxa"/>
          <w:left w:w="28" w:type="dxa"/>
          <w:bottom w:w="28" w:type="dxa"/>
          <w:right w:w="28" w:type="dxa"/>
        </w:tblCellMar>
      </w:tblPr>
      <w:tblGrid>
        <w:gridCol w:w="2101"/>
        <w:gridCol w:w="146"/>
        <w:gridCol w:w="250"/>
        <w:gridCol w:w="694"/>
        <w:gridCol w:w="173"/>
        <w:gridCol w:w="173"/>
        <w:gridCol w:w="250"/>
        <w:gridCol w:w="499"/>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9" w:type="dxa"/>
            <w:gridSpan w:val="6"/>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191" w:type="dxa"/>
            <w:tcBorders/>
            <w:vAlign w:val="center"/>
          </w:tcPr>
          <w:p>
            <w:pPr>
              <w:pStyle w:val="TableContents"/>
              <w:bidi w:val="0"/>
              <w:spacing w:before="0" w:after="0"/>
              <w:ind w:left="0" w:right="0" w:hanging="0"/>
              <w:jc w:val="center"/>
              <w:rPr/>
            </w:pPr>
            <w:r>
              <w:rPr/>
              <w:t> </w:t>
            </w:r>
          </w:p>
        </w:tc>
      </w:tr>
      <w:tr>
        <w:trPr/>
        <w:tc>
          <w:tcPr>
            <w:tcW w:w="21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7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0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Lease Cost</w:t>
            </w:r>
          </w:p>
        </w:tc>
        <w:tc>
          <w:tcPr>
            <w:tcW w:w="146" w:type="dxa"/>
            <w:tcBorders/>
            <w:vAlign w:val="center"/>
          </w:tcPr>
          <w:p>
            <w:pPr>
              <w:pStyle w:val="TableContents"/>
              <w:bidi w:val="0"/>
              <w:spacing w:before="0" w:after="0"/>
              <w:ind w:left="0" w:right="0" w:hanging="0"/>
              <w:jc w:val="left"/>
              <w:rPr/>
            </w:pPr>
            <w:r>
              <w:rPr/>
              <w:t> </w:t>
            </w:r>
          </w:p>
        </w:tc>
        <w:tc>
          <w:tcPr>
            <w:tcW w:w="944"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costs</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881</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154</w:t>
            </w:r>
          </w:p>
        </w:tc>
        <w:tc>
          <w:tcPr>
            <w:tcW w:w="191" w:type="dxa"/>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Variable lease costs</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309</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49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176</w:t>
            </w:r>
          </w:p>
        </w:tc>
        <w:tc>
          <w:tcPr>
            <w:tcW w:w="191" w:type="dxa"/>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Short-term lease costs</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lease costs</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1,192</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807"/>
        <w:gridCol w:w="146"/>
        <w:gridCol w:w="211"/>
        <w:gridCol w:w="586"/>
        <w:gridCol w:w="286"/>
        <w:gridCol w:w="146"/>
        <w:gridCol w:w="211"/>
        <w:gridCol w:w="481"/>
        <w:gridCol w:w="331"/>
      </w:tblGrid>
      <w:tr>
        <w:trPr/>
        <w:tc>
          <w:tcPr>
            <w:tcW w:w="7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80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paid for amounts included in the measurement of lease liabilities—operating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768</w:t>
            </w:r>
          </w:p>
        </w:tc>
        <w:tc>
          <w:tcPr>
            <w:tcW w:w="28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48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153</w:t>
            </w:r>
          </w:p>
        </w:tc>
        <w:tc>
          <w:tcPr>
            <w:tcW w:w="33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r>
      <w:tr>
        <w:trPr/>
        <w:tc>
          <w:tcPr>
            <w:tcW w:w="780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Weighted-average remaining lease term—operating leases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9.34</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1.33</w:t>
            </w:r>
          </w:p>
        </w:tc>
        <w:tc>
          <w:tcPr>
            <w:tcW w:w="331" w:type="dxa"/>
            <w:tcBorders/>
            <w:vAlign w:val="center"/>
          </w:tcPr>
          <w:p>
            <w:pPr>
              <w:pStyle w:val="TableContents"/>
              <w:bidi w:val="0"/>
              <w:spacing w:before="0" w:after="0"/>
              <w:ind w:left="0" w:right="0" w:hanging="0"/>
              <w:jc w:val="left"/>
              <w:rPr/>
            </w:pPr>
            <w:r>
              <w:rPr/>
              <w:t> </w:t>
            </w:r>
          </w:p>
        </w:tc>
      </w:tr>
      <w:tr>
        <w:trPr/>
        <w:tc>
          <w:tcPr>
            <w:tcW w:w="780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Weighted-average discount rate—operating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10.71</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3.51</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The following table reconciles the future minimum commitments to the Company’s operating lease liabilities at March 31, 2023 (in thousands):</w:t>
      </w:r>
    </w:p>
    <w:p>
      <w:pPr>
        <w:pStyle w:val="TextBody"/>
        <w:bidi w:val="0"/>
        <w:spacing w:before="0" w:after="0"/>
        <w:jc w:val="left"/>
        <w:rPr/>
      </w:pPr>
      <w:r>
        <w:rPr/>
        <w:t> </w:t>
      </w:r>
    </w:p>
    <w:tbl>
      <w:tblPr>
        <w:tblW w:w="9208" w:type="dxa"/>
        <w:jc w:val="left"/>
        <w:tblInd w:w="0" w:type="dxa"/>
        <w:tblLayout w:type="fixed"/>
        <w:tblCellMar>
          <w:top w:w="28" w:type="dxa"/>
          <w:left w:w="28" w:type="dxa"/>
          <w:bottom w:w="28" w:type="dxa"/>
          <w:right w:w="28" w:type="dxa"/>
        </w:tblCellMar>
      </w:tblPr>
      <w:tblGrid>
        <w:gridCol w:w="4381"/>
        <w:gridCol w:w="146"/>
        <w:gridCol w:w="976"/>
        <w:gridCol w:w="3494"/>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4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Operating lease payments as of March 31,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34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2,343</w:t>
            </w:r>
          </w:p>
        </w:tc>
        <w:tc>
          <w:tcPr>
            <w:tcW w:w="2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 </w:t>
            </w:r>
          </w:p>
        </w:tc>
        <w:tc>
          <w:tcPr>
            <w:tcW w:w="34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3,205</w:t>
            </w:r>
          </w:p>
        </w:tc>
        <w:tc>
          <w:tcPr>
            <w:tcW w:w="2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 </w:t>
            </w:r>
          </w:p>
        </w:tc>
        <w:tc>
          <w:tcPr>
            <w:tcW w:w="34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3,301</w:t>
            </w:r>
          </w:p>
        </w:tc>
        <w:tc>
          <w:tcPr>
            <w:tcW w:w="2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 </w:t>
            </w:r>
          </w:p>
        </w:tc>
        <w:tc>
          <w:tcPr>
            <w:tcW w:w="34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3,400</w:t>
            </w:r>
          </w:p>
        </w:tc>
        <w:tc>
          <w:tcPr>
            <w:tcW w:w="2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 </w:t>
            </w:r>
          </w:p>
        </w:tc>
        <w:tc>
          <w:tcPr>
            <w:tcW w:w="34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3,502</w:t>
            </w:r>
          </w:p>
        </w:tc>
        <w:tc>
          <w:tcPr>
            <w:tcW w:w="2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17,430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 </w:t>
            </w:r>
          </w:p>
        </w:tc>
        <w:tc>
          <w:tcPr>
            <w:tcW w:w="349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33,181</w:t>
            </w:r>
          </w:p>
        </w:tc>
        <w:tc>
          <w:tcPr>
            <w:tcW w:w="211" w:type="dxa"/>
            <w:tcBorders/>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interest</w:t>
            </w:r>
          </w:p>
        </w:tc>
        <w:tc>
          <w:tcPr>
            <w:tcW w:w="146" w:type="dxa"/>
            <w:tcBorders/>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(12,542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operating lease liabilities at March 31, 2023</w:t>
            </w:r>
          </w:p>
        </w:tc>
        <w:tc>
          <w:tcPr>
            <w:tcW w:w="146" w:type="dxa"/>
            <w:tcBorders/>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20,639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current portion of lease liabilities</w:t>
            </w:r>
          </w:p>
        </w:tc>
        <w:tc>
          <w:tcPr>
            <w:tcW w:w="146" w:type="dxa"/>
            <w:tcBorders/>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2,985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34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17,654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License Agreements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Company has entered into the following key agreements that relate to the core technology under development: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i/>
          <w:sz w:val="20"/>
        </w:rPr>
        <w:t>LI-COR Exclusive License and Supply Agreement</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In January 2014, the Company entered into an Exclusive License and Supply Agreement, or the LI-COR Exclusive License agreement with LI-COR, Inc. (LI-COR) for the license of IRDye 700DC and related licensed patents for the treatment and diagnosis of ocular cancers in humans as amended in January 2016, July 2017, April 2018 and April 2019. The LI-COR Exclusive License Agreement required a one-time upfront license issue fee of $0.1</w:t>
      </w:r>
      <w:r>
        <w:rPr>
          <w:rFonts w:ascii="Times New Roman" w:hAnsi="Times New Roman"/>
          <w:sz w:val="20"/>
        </w:rPr>
        <w:t xml:space="preserve"> </w:t>
      </w:r>
      <w:r>
        <w:rPr>
          <w:rFonts w:ascii="Arial;sans-serif" w:hAnsi="Arial;sans-serif"/>
          <w:b w:val="false"/>
          <w:sz w:val="20"/>
        </w:rPr>
        <w:t>million and aggregate milestone payments of up to $0.2</w:t>
      </w:r>
      <w:r>
        <w:rPr>
          <w:rFonts w:ascii="Times New Roman" w:hAnsi="Times New Roman"/>
          <w:sz w:val="20"/>
        </w:rPr>
        <w:t xml:space="preserve"> </w:t>
      </w:r>
      <w:r>
        <w:rPr>
          <w:rFonts w:ascii="Arial;sans-serif" w:hAnsi="Arial;sans-serif"/>
          <w:b w:val="false"/>
          <w:sz w:val="20"/>
        </w:rPr>
        <w:t>million upon certain regulatory and development milestones. The Company is also required to pay LI-COR low-single digit royalties on net sales. The term of the LI-COR Exclusive Agreement expires on a country-by-country basis, until the longer of (i) ten years</w:t>
      </w:r>
      <w:r>
        <w:rPr>
          <w:rFonts w:ascii="Times New Roman" w:hAnsi="Times New Roman"/>
          <w:sz w:val="20"/>
        </w:rPr>
        <w:t xml:space="preserve"> </w:t>
      </w:r>
      <w:r>
        <w:rPr>
          <w:rFonts w:ascii="Arial;sans-serif" w:hAnsi="Arial;sans-serif"/>
          <w:b w:val="false"/>
          <w:sz w:val="20"/>
        </w:rPr>
        <w:t>from the first commercial sale of a licensed product in such country and (ii) the last to expire valid claim in such country.</w:t>
      </w:r>
    </w:p>
    <w:p>
      <w:pPr>
        <w:pStyle w:val="TextBody"/>
        <w:bidi w:val="0"/>
        <w:spacing w:before="80" w:after="0"/>
        <w:jc w:val="both"/>
        <w:rPr>
          <w:rFonts w:ascii="Times New Roman" w:hAnsi="Times New Roman"/>
          <w:sz w:val="20"/>
        </w:rPr>
      </w:pPr>
      <w:r>
        <w:rPr>
          <w:rFonts w:ascii="Arial;sans-serif" w:hAnsi="Arial;sans-serif"/>
          <w:b w:val="false"/>
          <w:sz w:val="20"/>
        </w:rPr>
        <w:t>The Company recognized no</w:t>
      </w:r>
      <w:r>
        <w:rPr>
          <w:rFonts w:ascii="Times New Roman" w:hAnsi="Times New Roman"/>
          <w:sz w:val="20"/>
        </w:rPr>
        <w:t xml:space="preserve"> </w:t>
      </w:r>
      <w:r>
        <w:rPr>
          <w:rFonts w:ascii="Arial;sans-serif" w:hAnsi="Arial;sans-serif"/>
          <w:b w:val="false"/>
          <w:sz w:val="20"/>
        </w:rPr>
        <w:t>expenses related to this agreement and related amendments for the three months ended March 31, 2023 and 2022, respectively.</w:t>
      </w:r>
    </w:p>
    <w:p>
      <w:pPr>
        <w:pStyle w:val="TextBody"/>
        <w:bidi w:val="0"/>
        <w:spacing w:before="240" w:after="0"/>
        <w:jc w:val="both"/>
        <w:rPr>
          <w:rFonts w:ascii="Times New Roman" w:hAnsi="Times New Roman"/>
          <w:sz w:val="20"/>
        </w:rPr>
      </w:pPr>
      <w:r>
        <w:rPr>
          <w:rFonts w:ascii="Arial;sans-serif" w:hAnsi="Arial;sans-serif"/>
          <w:b w:val="false"/>
          <w:i/>
          <w:sz w:val="20"/>
        </w:rPr>
        <w:t>LI-COR Non-Exclusive License and Supply Agreement</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In December 2014, the Company entered into a Non-Exclusive License Agreement with LI-COR for the supply of IRDye 700DX to the Company for the treatment and diagnosis of non-ocular solid tumor cancers in humans. Under the 2014 Non-Exclusive, the Company paid a license issue fee of $0.03</w:t>
      </w:r>
      <w:r>
        <w:rPr>
          <w:rFonts w:ascii="Times New Roman" w:hAnsi="Times New Roman"/>
          <w:sz w:val="20"/>
        </w:rPr>
        <w:t xml:space="preserve"> </w:t>
      </w:r>
      <w:r>
        <w:rPr>
          <w:rFonts w:ascii="Arial;sans-serif" w:hAnsi="Arial;sans-serif"/>
          <w:b w:val="false"/>
          <w:sz w:val="20"/>
        </w:rPr>
        <w:t>million on the effective date. The Company must also pay LI-COR a non-refundable, non-creditable fee of $0.03</w:t>
      </w:r>
      <w:r>
        <w:rPr>
          <w:rFonts w:ascii="Times New Roman" w:hAnsi="Times New Roman"/>
          <w:sz w:val="20"/>
        </w:rPr>
        <w:t xml:space="preserve"> </w:t>
      </w:r>
      <w:r>
        <w:rPr>
          <w:rFonts w:ascii="Arial;sans-serif" w:hAnsi="Arial;sans-serif"/>
          <w:b w:val="false"/>
          <w:sz w:val="20"/>
        </w:rPr>
        <w:t>million per each licensed product upon pre-IND designation, as defined of such licensed product, aggregate milestone payments of up to $0.3</w:t>
      </w:r>
      <w:r>
        <w:rPr>
          <w:rFonts w:ascii="Times New Roman" w:hAnsi="Times New Roman"/>
          <w:sz w:val="20"/>
        </w:rPr>
        <w:t xml:space="preserve"> </w:t>
      </w:r>
      <w:r>
        <w:rPr>
          <w:rFonts w:ascii="Arial;sans-serif" w:hAnsi="Arial;sans-serif"/>
          <w:b w:val="false"/>
          <w:sz w:val="20"/>
        </w:rPr>
        <w:t>million upon certain regulatory and development milestones; and during the term, the Company must pay LI-COR a low-single digit percentage royalty on net sales. LI-COR receives 10% of all sublicensee income within 30 days of the Company’s receipt from the sublicensee. The 2014 Non-Exclusive Agreement also required the Company to make certain payments upon the achievement of specified development and commercial milestones of up to $0.4</w:t>
      </w:r>
      <w:r>
        <w:rPr>
          <w:rFonts w:ascii="Times New Roman" w:hAnsi="Times New Roman"/>
          <w:sz w:val="20"/>
        </w:rPr>
        <w:t xml:space="preserve"> </w:t>
      </w:r>
      <w:r>
        <w:rPr>
          <w:rFonts w:ascii="Arial;sans-serif" w:hAnsi="Arial;sans-serif"/>
          <w:b w:val="false"/>
          <w:sz w:val="20"/>
        </w:rPr>
        <w:t>million in aggregate. During the three months ended March 31, 2023 and 2022, the Company recognized no</w:t>
      </w:r>
      <w:r>
        <w:rPr>
          <w:rFonts w:ascii="Times New Roman" w:hAnsi="Times New Roman"/>
          <w:sz w:val="20"/>
        </w:rPr>
        <w:t xml:space="preserve"> </w:t>
      </w:r>
      <w:r>
        <w:rPr>
          <w:rFonts w:ascii="Arial;sans-serif" w:hAnsi="Arial;sans-serif"/>
          <w:b w:val="false"/>
          <w:sz w:val="20"/>
        </w:rPr>
        <w:t>milestones related to this agreement.</w:t>
      </w:r>
    </w:p>
    <w:p>
      <w:pPr>
        <w:pStyle w:val="TextBody"/>
        <w:bidi w:val="0"/>
        <w:spacing w:before="240" w:after="0"/>
        <w:jc w:val="left"/>
        <w:rPr>
          <w:rFonts w:ascii="Times New Roman" w:hAnsi="Times New Roman"/>
          <w:sz w:val="20"/>
        </w:rPr>
      </w:pPr>
      <w:r>
        <w:rPr>
          <w:rFonts w:ascii="Arial;sans-serif" w:hAnsi="Arial;sans-serif"/>
          <w:b w:val="false"/>
          <w:i/>
          <w:sz w:val="20"/>
        </w:rPr>
        <w:t>Life Technologies Corporation</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In December 2014, the Company entered into a non-exclusive, perpetual license agreement with Life Technologies Corporation, or the Life Technologies, which allows for five</w:t>
      </w:r>
      <w:r>
        <w:rPr>
          <w:rFonts w:ascii="Times New Roman" w:hAnsi="Times New Roman"/>
          <w:sz w:val="20"/>
        </w:rPr>
        <w:t xml:space="preserve"> </w:t>
      </w:r>
      <w:r>
        <w:rPr>
          <w:rFonts w:ascii="Arial;sans-serif" w:hAnsi="Arial;sans-serif"/>
          <w:b w:val="false"/>
          <w:sz w:val="20"/>
        </w:rPr>
        <w:t>licensed products. Under this agreement the Company is required to pay an initial license fee of $0.1</w:t>
      </w:r>
      <w:r>
        <w:rPr>
          <w:rFonts w:ascii="Times New Roman" w:hAnsi="Times New Roman"/>
          <w:sz w:val="20"/>
        </w:rPr>
        <w:t xml:space="preserve"> </w:t>
      </w:r>
      <w:r>
        <w:rPr>
          <w:rFonts w:ascii="Arial;sans-serif" w:hAnsi="Arial;sans-serif"/>
          <w:b w:val="false"/>
          <w:sz w:val="20"/>
        </w:rPr>
        <w:t>million for each product. An annual development fee of $0.1</w:t>
      </w:r>
      <w:r>
        <w:rPr>
          <w:rFonts w:ascii="Times New Roman" w:hAnsi="Times New Roman"/>
          <w:sz w:val="20"/>
        </w:rPr>
        <w:t xml:space="preserve"> </w:t>
      </w:r>
      <w:r>
        <w:rPr>
          <w:rFonts w:ascii="Arial;sans-serif" w:hAnsi="Arial;sans-serif"/>
          <w:b w:val="false"/>
          <w:sz w:val="20"/>
        </w:rPr>
        <w:t>million is due within a year from payment of the initial license fee and due annually or earlier of (i) payment of a commercialization fee or (ii) all development work is terminated. The commercialization fee is a one-time, non-refundable, non-creditable fee of $0.3</w:t>
      </w:r>
      <w:r>
        <w:rPr>
          <w:rFonts w:ascii="Times New Roman" w:hAnsi="Times New Roman"/>
          <w:sz w:val="20"/>
        </w:rPr>
        <w:t xml:space="preserve"> </w:t>
      </w:r>
      <w:r>
        <w:rPr>
          <w:rFonts w:ascii="Arial;sans-serif" w:hAnsi="Arial;sans-serif"/>
          <w:b w:val="false"/>
          <w:sz w:val="20"/>
        </w:rPr>
        <w:t>million due upon receipt of approval of a licensed product. In the event of a change of control, there will be a change of control fee of $0.2</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January 2022, the Company entered into the First Amendment to the non-exclusive, perpetual license agreement with Life Technologies for use of the license in an additional indication. The cost of this amendment was a one-time fee of $0.05</w:t>
      </w:r>
      <w:r>
        <w:rPr>
          <w:rFonts w:ascii="Times New Roman" w:hAnsi="Times New Roman"/>
          <w:sz w:val="20"/>
        </w:rPr>
        <w:t xml:space="preserve"> </w:t>
      </w:r>
      <w:r>
        <w:rPr>
          <w:rFonts w:ascii="Arial;sans-serif" w:hAnsi="Arial;sans-serif"/>
          <w:b w:val="false"/>
          <w:sz w:val="20"/>
        </w:rPr>
        <w:t>million. During the three months ended March 31, 2023 and 2022, the Company recognized $nil</w:t>
      </w:r>
      <w:r>
        <w:rPr>
          <w:rFonts w:ascii="Times New Roman" w:hAnsi="Times New Roman"/>
          <w:sz w:val="20"/>
        </w:rPr>
        <w:t xml:space="preserve"> </w:t>
      </w:r>
      <w:r>
        <w:rPr>
          <w:rFonts w:ascii="Arial;sans-serif" w:hAnsi="Arial;sans-serif"/>
          <w:b w:val="false"/>
          <w:sz w:val="20"/>
        </w:rPr>
        <w:t>million and $0.05</w:t>
      </w:r>
      <w:r>
        <w:rPr>
          <w:rFonts w:ascii="Times New Roman" w:hAnsi="Times New Roman"/>
          <w:sz w:val="20"/>
        </w:rPr>
        <w:t xml:space="preserve"> </w:t>
      </w:r>
      <w:r>
        <w:rPr>
          <w:rFonts w:ascii="Arial;sans-serif" w:hAnsi="Arial;sans-serif"/>
          <w:b w:val="false"/>
          <w:sz w:val="20"/>
        </w:rPr>
        <w:t>million of expenses related to this agreement, respectively.</w:t>
      </w:r>
    </w:p>
    <w:p>
      <w:pPr>
        <w:pStyle w:val="TextBody"/>
        <w:bidi w:val="0"/>
        <w:spacing w:before="240" w:after="0"/>
        <w:jc w:val="both"/>
        <w:rPr>
          <w:rFonts w:ascii="Times New Roman" w:hAnsi="Times New Roman"/>
          <w:sz w:val="20"/>
        </w:rPr>
      </w:pPr>
      <w:r>
        <w:rPr>
          <w:rFonts w:ascii="Arial;sans-serif" w:hAnsi="Arial;sans-serif"/>
          <w:b w:val="false"/>
          <w:sz w:val="20"/>
        </w:rPr>
        <w:t>Effective in September 2022, the Company entered into a new non-exclusive, perpetual license agreement with Life Technologies for licensed products. Under this agreement, the Company is required to pay an initial license fee of $0.4</w:t>
      </w:r>
      <w:r>
        <w:rPr>
          <w:rFonts w:ascii="Times New Roman" w:hAnsi="Times New Roman"/>
          <w:sz w:val="20"/>
        </w:rPr>
        <w:t xml:space="preserve"> </w:t>
      </w:r>
      <w:r>
        <w:rPr>
          <w:rFonts w:ascii="Arial;sans-serif" w:hAnsi="Arial;sans-serif"/>
          <w:b w:val="false"/>
          <w:sz w:val="20"/>
        </w:rPr>
        <w:t>million for the first licensed product and $0.5</w:t>
      </w:r>
      <w:r>
        <w:rPr>
          <w:rFonts w:ascii="Times New Roman" w:hAnsi="Times New Roman"/>
          <w:sz w:val="20"/>
        </w:rPr>
        <w:t xml:space="preserve"> </w:t>
      </w:r>
      <w:r>
        <w:rPr>
          <w:rFonts w:ascii="Arial;sans-serif" w:hAnsi="Arial;sans-serif"/>
          <w:b w:val="false"/>
          <w:sz w:val="20"/>
        </w:rPr>
        <w:t>million for each additional licensed product. In addition, the agreement allows the Company the right to sublicense which would lead to a $0.2</w:t>
      </w:r>
      <w:r>
        <w:rPr>
          <w:rFonts w:ascii="Times New Roman" w:hAnsi="Times New Roman"/>
          <w:sz w:val="20"/>
        </w:rPr>
        <w:t xml:space="preserve"> </w:t>
      </w:r>
      <w:r>
        <w:rPr>
          <w:rFonts w:ascii="Arial;sans-serif" w:hAnsi="Arial;sans-serif"/>
          <w:b w:val="false"/>
          <w:sz w:val="20"/>
        </w:rPr>
        <w:t>million payment for each sublicense per licensed product and a $0.03</w:t>
      </w:r>
      <w:r>
        <w:rPr>
          <w:rFonts w:ascii="Times New Roman" w:hAnsi="Times New Roman"/>
          <w:sz w:val="20"/>
        </w:rPr>
        <w:t xml:space="preserve"> </w:t>
      </w:r>
      <w:r>
        <w:rPr>
          <w:rFonts w:ascii="Arial;sans-serif" w:hAnsi="Arial;sans-serif"/>
          <w:b w:val="false"/>
          <w:sz w:val="20"/>
        </w:rPr>
        <w:t>million payment for use of the cell line document package. In the event of a change of control, there will be a change of control fee of $0.5</w:t>
      </w:r>
      <w:r>
        <w:rPr>
          <w:rFonts w:ascii="Times New Roman" w:hAnsi="Times New Roman"/>
          <w:sz w:val="20"/>
        </w:rPr>
        <w:t xml:space="preserve"> </w:t>
      </w:r>
      <w:r>
        <w:rPr>
          <w:rFonts w:ascii="Arial;sans-serif" w:hAnsi="Arial;sans-serif"/>
          <w:b w:val="false"/>
          <w:sz w:val="20"/>
        </w:rPr>
        <w:t>million. During the three months ended March 31, 2023, the Company recognized $nil</w:t>
      </w:r>
      <w:r>
        <w:rPr>
          <w:rFonts w:ascii="Times New Roman" w:hAnsi="Times New Roman"/>
          <w:sz w:val="20"/>
        </w:rPr>
        <w:t xml:space="preserve"> </w:t>
      </w:r>
      <w:r>
        <w:rPr>
          <w:rFonts w:ascii="Arial;sans-serif" w:hAnsi="Arial;sans-serif"/>
          <w:b w:val="false"/>
          <w:sz w:val="20"/>
        </w:rPr>
        <w:t>million of expenses related to this agreement.</w:t>
      </w:r>
    </w:p>
    <w:p>
      <w:pPr>
        <w:pStyle w:val="TextBody"/>
        <w:bidi w:val="0"/>
        <w:spacing w:before="240" w:after="0"/>
        <w:jc w:val="both"/>
        <w:rPr>
          <w:rFonts w:ascii="Times New Roman" w:hAnsi="Times New Roman"/>
          <w:sz w:val="20"/>
        </w:rPr>
      </w:pPr>
      <w:r>
        <w:rPr>
          <w:rFonts w:ascii="Arial;sans-serif" w:hAnsi="Arial;sans-serif"/>
          <w:b w:val="false"/>
          <w:i/>
          <w:sz w:val="20"/>
        </w:rPr>
        <w:t>National Institute of Health (NIH)-Collaboration Research and Development Agreement</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In July 2011, the Company entered into a Collaboration Research and Development Agreement (CRADA), with Dr. John Schiller at the NIH, for a period of two years</w:t>
      </w:r>
      <w:r>
        <w:rPr>
          <w:rFonts w:ascii="Times New Roman" w:hAnsi="Times New Roman"/>
          <w:sz w:val="20"/>
        </w:rPr>
        <w:t xml:space="preserve"> </w:t>
      </w:r>
      <w:r>
        <w:rPr>
          <w:rFonts w:ascii="Arial;sans-serif" w:hAnsi="Arial;sans-serif"/>
          <w:b w:val="false"/>
          <w:sz w:val="20"/>
        </w:rPr>
        <w:t>with the rights to an exclusive license to all technology generated within the collaboration. Under this agreement, the Company is required to make annual payments of $0.03</w:t>
      </w:r>
      <w:r>
        <w:rPr>
          <w:rFonts w:ascii="Times New Roman" w:hAnsi="Times New Roman"/>
          <w:sz w:val="20"/>
        </w:rPr>
        <w:t xml:space="preserve"> </w:t>
      </w:r>
      <w:r>
        <w:rPr>
          <w:rFonts w:ascii="Arial;sans-serif" w:hAnsi="Arial;sans-serif"/>
          <w:b w:val="false"/>
          <w:sz w:val="20"/>
        </w:rPr>
        <w:t>million to fund the research activities, the first payment of which was paid within 30</w:t>
      </w:r>
      <w:r>
        <w:rPr>
          <w:rFonts w:ascii="Times New Roman" w:hAnsi="Times New Roman"/>
          <w:sz w:val="20"/>
        </w:rPr>
        <w:t xml:space="preserve"> </w:t>
      </w:r>
      <w:r>
        <w:rPr>
          <w:rFonts w:ascii="Arial;sans-serif" w:hAnsi="Arial;sans-serif"/>
          <w:b w:val="false"/>
          <w:sz w:val="20"/>
        </w:rPr>
        <w:t>days of the effective date. Subsequent payments are due within 30</w:t>
      </w:r>
      <w:r>
        <w:rPr>
          <w:rFonts w:ascii="Times New Roman" w:hAnsi="Times New Roman"/>
          <w:sz w:val="20"/>
        </w:rPr>
        <w:t xml:space="preserve"> </w:t>
      </w:r>
      <w:r>
        <w:rPr>
          <w:rFonts w:ascii="Arial;sans-serif" w:hAnsi="Arial;sans-serif"/>
          <w:b w:val="false"/>
          <w:sz w:val="20"/>
        </w:rPr>
        <w:t>days of the anniversary of the effective date. This agreement was first amended in 2012, 2013, 2014, 2015, 2016, 2018 and most recently in September of 2020. During the three months ended March 31, 2023 and 2022, the Company paid $nil</w:t>
      </w:r>
      <w:r>
        <w:rPr>
          <w:rFonts w:ascii="Times New Roman" w:hAnsi="Times New Roman"/>
          <w:sz w:val="20"/>
        </w:rPr>
        <w:t xml:space="preserve"> </w:t>
      </w:r>
      <w:r>
        <w:rPr>
          <w:rFonts w:ascii="Arial;sans-serif" w:hAnsi="Arial;sans-serif"/>
          <w:b w:val="false"/>
          <w:sz w:val="20"/>
        </w:rPr>
        <w:t>million and $nil</w:t>
      </w:r>
      <w:r>
        <w:rPr>
          <w:rFonts w:ascii="Times New Roman" w:hAnsi="Times New Roman"/>
          <w:sz w:val="20"/>
        </w:rPr>
        <w:t xml:space="preserve"> </w:t>
      </w:r>
      <w:r>
        <w:rPr>
          <w:rFonts w:ascii="Arial;sans-serif" w:hAnsi="Arial;sans-serif"/>
          <w:b w:val="false"/>
          <w:sz w:val="20"/>
        </w:rPr>
        <w:t>million of research collaboration fees related to this agreement.</w:t>
      </w:r>
    </w:p>
    <w:p>
      <w:pPr>
        <w:pStyle w:val="TextBody"/>
        <w:bidi w:val="0"/>
        <w:spacing w:before="240" w:after="0"/>
        <w:jc w:val="center"/>
        <w:rPr>
          <w:rFonts w:ascii="Arial;sans-serif" w:hAnsi="Arial;sans-serif"/>
          <w:b w:val="false"/>
          <w:sz w:val="20"/>
        </w:rPr>
      </w:pPr>
      <w:r>
        <w:rPr>
          <w:rFonts w:ascii="Arial;sans-serif" w:hAnsi="Arial;sans-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A seventh amendment was made in October 2020, requiring payment of $0.04</w:t>
      </w:r>
      <w:r>
        <w:rPr>
          <w:rFonts w:ascii="Times New Roman" w:hAnsi="Times New Roman"/>
          <w:sz w:val="20"/>
        </w:rPr>
        <w:t xml:space="preserve"> </w:t>
      </w:r>
      <w:r>
        <w:rPr>
          <w:rFonts w:ascii="Arial;sans-serif" w:hAnsi="Arial;sans-serif"/>
          <w:b w:val="false"/>
          <w:sz w:val="20"/>
        </w:rPr>
        <w:t>million within 30</w:t>
      </w:r>
      <w:r>
        <w:rPr>
          <w:rFonts w:ascii="Times New Roman" w:hAnsi="Times New Roman"/>
          <w:sz w:val="20"/>
        </w:rPr>
        <w:t xml:space="preserve"> </w:t>
      </w:r>
      <w:r>
        <w:rPr>
          <w:rFonts w:ascii="Arial;sans-serif" w:hAnsi="Arial;sans-serif"/>
          <w:b w:val="false"/>
          <w:sz w:val="20"/>
        </w:rPr>
        <w:t>days of October 1, 2020, and another $0.03</w:t>
      </w:r>
      <w:r>
        <w:rPr>
          <w:rFonts w:ascii="Times New Roman" w:hAnsi="Times New Roman"/>
          <w:sz w:val="20"/>
        </w:rPr>
        <w:t xml:space="preserve"> </w:t>
      </w:r>
      <w:r>
        <w:rPr>
          <w:rFonts w:ascii="Arial;sans-serif" w:hAnsi="Arial;sans-serif"/>
          <w:b w:val="false"/>
          <w:sz w:val="20"/>
        </w:rPr>
        <w:t>million within 30</w:t>
      </w:r>
      <w:r>
        <w:rPr>
          <w:rFonts w:ascii="Times New Roman" w:hAnsi="Times New Roman"/>
          <w:sz w:val="20"/>
        </w:rPr>
        <w:t xml:space="preserve"> </w:t>
      </w:r>
      <w:r>
        <w:rPr>
          <w:rFonts w:ascii="Arial;sans-serif" w:hAnsi="Arial;sans-serif"/>
          <w:b w:val="false"/>
          <w:sz w:val="20"/>
        </w:rPr>
        <w:t>days of the 10th anniversary of the CRADA, which was paid in July 2021. This seventh amendment extended the term of the CRADA to September 30, 2022. The Company recognized no</w:t>
      </w:r>
      <w:r>
        <w:rPr>
          <w:rFonts w:ascii="Times New Roman" w:hAnsi="Times New Roman"/>
          <w:sz w:val="20"/>
        </w:rPr>
        <w:t xml:space="preserve"> </w:t>
      </w:r>
      <w:r>
        <w:rPr>
          <w:rFonts w:ascii="Arial;sans-serif" w:hAnsi="Arial;sans-serif"/>
          <w:b w:val="false"/>
          <w:sz w:val="20"/>
        </w:rPr>
        <w:t>milestones related to this agreement and related amendments for the three months ended March 31, 2023 and 2022.</w:t>
      </w:r>
    </w:p>
    <w:p>
      <w:pPr>
        <w:pStyle w:val="TextBody"/>
        <w:bidi w:val="0"/>
        <w:spacing w:before="240" w:after="0"/>
        <w:jc w:val="both"/>
        <w:rPr>
          <w:rFonts w:ascii="Times New Roman" w:hAnsi="Times New Roman"/>
          <w:sz w:val="20"/>
        </w:rPr>
      </w:pPr>
      <w:r>
        <w:rPr>
          <w:rFonts w:ascii="Arial;sans-serif" w:hAnsi="Arial;sans-serif"/>
          <w:b w:val="false"/>
          <w:sz w:val="20"/>
        </w:rPr>
        <w:t>An eighth amendment was effective in September 2022, requiring payment of $0.04</w:t>
      </w:r>
      <w:r>
        <w:rPr>
          <w:rFonts w:ascii="Times New Roman" w:hAnsi="Times New Roman"/>
          <w:sz w:val="20"/>
        </w:rPr>
        <w:t xml:space="preserve"> </w:t>
      </w:r>
      <w:r>
        <w:rPr>
          <w:rFonts w:ascii="Arial;sans-serif" w:hAnsi="Arial;sans-serif"/>
          <w:b w:val="false"/>
          <w:sz w:val="20"/>
        </w:rPr>
        <w:t>million within 30</w:t>
      </w:r>
      <w:r>
        <w:rPr>
          <w:rFonts w:ascii="Times New Roman" w:hAnsi="Times New Roman"/>
          <w:sz w:val="20"/>
        </w:rPr>
        <w:t xml:space="preserve"> </w:t>
      </w:r>
      <w:r>
        <w:rPr>
          <w:rFonts w:ascii="Arial;sans-serif" w:hAnsi="Arial;sans-serif"/>
          <w:b w:val="false"/>
          <w:sz w:val="20"/>
        </w:rPr>
        <w:t>days of November 1, 2022, and payment of another $0.03</w:t>
      </w:r>
      <w:r>
        <w:rPr>
          <w:rFonts w:ascii="Times New Roman" w:hAnsi="Times New Roman"/>
          <w:sz w:val="20"/>
        </w:rPr>
        <w:t xml:space="preserve"> </w:t>
      </w:r>
      <w:r>
        <w:rPr>
          <w:rFonts w:ascii="Arial;sans-serif" w:hAnsi="Arial;sans-serif"/>
          <w:b w:val="false"/>
          <w:sz w:val="20"/>
        </w:rPr>
        <w:t>million within 30</w:t>
      </w:r>
      <w:r>
        <w:rPr>
          <w:rFonts w:ascii="Times New Roman" w:hAnsi="Times New Roman"/>
          <w:sz w:val="20"/>
        </w:rPr>
        <w:t xml:space="preserve"> </w:t>
      </w:r>
      <w:r>
        <w:rPr>
          <w:rFonts w:ascii="Arial;sans-serif" w:hAnsi="Arial;sans-serif"/>
          <w:b w:val="false"/>
          <w:sz w:val="20"/>
        </w:rPr>
        <w:t>days of the 12th anniversary of the CRADA, which will be in August 2023. This eighth amendment extended the term of the CRADA to September 30, 2024. During the three months ended March 31, 2023, the Company recognized $nil million of expenses related to this agreement</w:t>
      </w:r>
    </w:p>
    <w:p>
      <w:pPr>
        <w:pStyle w:val="TextBody"/>
        <w:bidi w:val="0"/>
        <w:spacing w:before="240" w:after="0"/>
        <w:jc w:val="both"/>
        <w:rPr>
          <w:rFonts w:ascii="Times New Roman" w:hAnsi="Times New Roman"/>
          <w:sz w:val="20"/>
        </w:rPr>
      </w:pPr>
      <w:r>
        <w:rPr>
          <w:rFonts w:ascii="Arial;sans-serif" w:hAnsi="Arial;sans-serif"/>
          <w:b w:val="false"/>
          <w:i/>
          <w:sz w:val="20"/>
        </w:rPr>
        <w:t>National Institute of Health (NIH)-Exclusive Patent License Agreement</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In September 2013, the Company entered into an exclusive patent license agreement, or the NIH Exclusive License Agreement, with the NIH, that required the Company to pay a license issue royalty of $0.1</w:t>
      </w:r>
      <w:r>
        <w:rPr>
          <w:rFonts w:ascii="Times New Roman" w:hAnsi="Times New Roman"/>
          <w:sz w:val="20"/>
        </w:rPr>
        <w:t xml:space="preserve"> </w:t>
      </w:r>
      <w:r>
        <w:rPr>
          <w:rFonts w:ascii="Arial;sans-serif" w:hAnsi="Arial;sans-serif"/>
          <w:b w:val="false"/>
          <w:sz w:val="20"/>
        </w:rPr>
        <w:t>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w:t>
      </w:r>
      <w:r>
        <w:rPr>
          <w:rFonts w:ascii="Times New Roman" w:hAnsi="Times New Roman"/>
          <w:sz w:val="20"/>
        </w:rPr>
        <w:t xml:space="preserve"> </w:t>
      </w:r>
      <w:r>
        <w:rPr>
          <w:rFonts w:ascii="Arial;sans-serif" w:hAnsi="Arial;sans-serif"/>
          <w:b w:val="false"/>
          <w:sz w:val="20"/>
        </w:rPr>
        <w:t>million in aggregate and sales milestone payments up to $0.6</w:t>
      </w:r>
      <w:r>
        <w:rPr>
          <w:rFonts w:ascii="Times New Roman" w:hAnsi="Times New Roman"/>
          <w:sz w:val="20"/>
        </w:rPr>
        <w:t xml:space="preserve"> </w:t>
      </w:r>
      <w:r>
        <w:rPr>
          <w:rFonts w:ascii="Arial;sans-serif" w:hAnsi="Arial;sans-serif"/>
          <w:b w:val="false"/>
          <w:sz w:val="20"/>
        </w:rPr>
        <w:t>million in the aggregate. The Company is also required to pay NIH a mid-single to low teen-digit percentage of any sublicensing revenue the Company receives. Additionally, the Company’s payment obligations to the NIH are subject to an annual minimum royalty payment of low five figures. The Company recognized no</w:t>
      </w:r>
      <w:r>
        <w:rPr>
          <w:rFonts w:ascii="Times New Roman" w:hAnsi="Times New Roman"/>
          <w:sz w:val="20"/>
        </w:rPr>
        <w:t xml:space="preserve"> </w:t>
      </w:r>
      <w:r>
        <w:rPr>
          <w:rFonts w:ascii="Arial;sans-serif" w:hAnsi="Arial;sans-serif"/>
          <w:b w:val="false"/>
          <w:sz w:val="20"/>
        </w:rPr>
        <w:t>patent licensing fees for the three months ended March 31, 2023 and 2022, respectively.</w:t>
      </w:r>
    </w:p>
    <w:p>
      <w:pPr>
        <w:pStyle w:val="TextBody"/>
        <w:bidi w:val="0"/>
        <w:spacing w:before="240" w:after="0"/>
        <w:jc w:val="both"/>
        <w:rPr>
          <w:rFonts w:ascii="Times New Roman" w:hAnsi="Times New Roman"/>
          <w:sz w:val="20"/>
        </w:rPr>
      </w:pPr>
      <w:r>
        <w:rPr>
          <w:rFonts w:ascii="Arial;sans-serif" w:hAnsi="Arial;sans-serif"/>
          <w:b w:val="false"/>
          <w:sz w:val="20"/>
        </w:rPr>
        <w:t>In 2015, 2018 and 2019, the Company amended its exclusive patent license to include updates on the status of the commercial development and update/expand the list of licensed patents and patent applications. Each of those amendments required a $0.03</w:t>
      </w:r>
      <w:r>
        <w:rPr>
          <w:rFonts w:ascii="Times New Roman" w:hAnsi="Times New Roman"/>
          <w:sz w:val="20"/>
        </w:rPr>
        <w:t xml:space="preserve"> </w:t>
      </w:r>
      <w:r>
        <w:rPr>
          <w:rFonts w:ascii="Arial;sans-serif" w:hAnsi="Arial;sans-serif"/>
          <w:b w:val="false"/>
          <w:sz w:val="20"/>
        </w:rPr>
        <w:t>million payment that the Company paid.</w:t>
      </w:r>
    </w:p>
    <w:p>
      <w:pPr>
        <w:pStyle w:val="TextBody"/>
        <w:bidi w:val="0"/>
        <w:spacing w:before="240" w:after="0"/>
        <w:jc w:val="left"/>
        <w:rPr>
          <w:rFonts w:ascii="Arial;sans-serif" w:hAnsi="Arial;sans-serif"/>
          <w:b w:val="false"/>
          <w:i/>
          <w:sz w:val="20"/>
        </w:rPr>
      </w:pPr>
      <w:r>
        <w:rPr>
          <w:rFonts w:ascii="Arial;sans-serif" w:hAnsi="Arial;sans-serif"/>
          <w:b w:val="false"/>
          <w:i/>
          <w:sz w:val="20"/>
        </w:rPr>
        <w:t>Inserm-Transfert License Agreement</w:t>
      </w:r>
    </w:p>
    <w:p>
      <w:pPr>
        <w:pStyle w:val="TextBody"/>
        <w:bidi w:val="0"/>
        <w:spacing w:before="80" w:after="0"/>
        <w:jc w:val="both"/>
        <w:rPr>
          <w:rFonts w:ascii="Times New Roman" w:hAnsi="Times New Roman"/>
          <w:sz w:val="20"/>
        </w:rPr>
      </w:pPr>
      <w:r>
        <w:rPr>
          <w:rFonts w:ascii="Arial;sans-serif" w:hAnsi="Arial;sans-serif"/>
          <w:b w:val="false"/>
          <w:sz w:val="20"/>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w:t>
      </w:r>
      <w:r>
        <w:rPr>
          <w:rFonts w:ascii="Times New Roman" w:hAnsi="Times New Roman"/>
          <w:sz w:val="20"/>
        </w:rPr>
        <w:t xml:space="preserve"> </w:t>
      </w:r>
      <w:r>
        <w:rPr>
          <w:rFonts w:ascii="Arial;sans-serif" w:hAnsi="Arial;sans-serif"/>
          <w:b w:val="false"/>
          <w:sz w:val="20"/>
        </w:rPr>
        <w:t>years from the date of the first commercial sales by the Company, whichever is later. The IND filing milestone of €0.01</w:t>
      </w:r>
      <w:r>
        <w:rPr>
          <w:rFonts w:ascii="Times New Roman" w:hAnsi="Times New Roman"/>
          <w:sz w:val="20"/>
        </w:rPr>
        <w:t xml:space="preserve"> </w:t>
      </w:r>
      <w:r>
        <w:rPr>
          <w:rFonts w:ascii="Arial;sans-serif" w:hAnsi="Arial;sans-serif"/>
          <w:b w:val="false"/>
          <w:sz w:val="20"/>
        </w:rPr>
        <w:t>million was accrued in 2016 and paid in 2017 by the Company. The milestones for the successful Phase I, II and III clinical trials are based on receiving a final report and achieving the primary endpoints defined in that trial, and those milestones have not been achieved as of March 31, 2023.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 in the three months ended March 31, 2023 and 2022.</w:t>
      </w:r>
    </w:p>
    <w:p>
      <w:pPr>
        <w:pStyle w:val="TextBody"/>
        <w:bidi w:val="0"/>
        <w:spacing w:before="240" w:after="0"/>
        <w:jc w:val="left"/>
        <w:rPr>
          <w:rFonts w:ascii="Times New Roman" w:hAnsi="Times New Roman"/>
          <w:sz w:val="20"/>
        </w:rPr>
      </w:pPr>
      <w:r>
        <w:rPr>
          <w:rFonts w:ascii="Arial;sans-serif" w:hAnsi="Arial;sans-serif"/>
          <w:b w:val="false"/>
          <w:i/>
          <w:sz w:val="20"/>
        </w:rPr>
        <w:t>Clearside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In July 2019, the Company entered into an exclusive license agreement with Clearside Biomedical, Inc., or Clearside, for the license of Clearside’s Suprachoroidal Microneedle Technology for use in the treatment of indeterminate lesions and choroidal tumors. Upon execution of the License Agreement, the Company paid Clearside an upfront payment of $0.1</w:t>
      </w:r>
      <w:r>
        <w:rPr>
          <w:rFonts w:ascii="Times New Roman" w:hAnsi="Times New Roman"/>
          <w:sz w:val="20"/>
        </w:rPr>
        <w:t xml:space="preserve"> </w:t>
      </w:r>
      <w:r>
        <w:rPr>
          <w:rFonts w:ascii="Arial;sans-serif" w:hAnsi="Arial;sans-serif"/>
          <w:b w:val="false"/>
          <w:sz w:val="20"/>
        </w:rPr>
        <w:t>million which was expensed as incurred. Under the Clearside License Agreement, the Company is required to pay milestones up to $21.0</w:t>
      </w:r>
      <w:r>
        <w:rPr>
          <w:rFonts w:ascii="Times New Roman" w:hAnsi="Times New Roman"/>
          <w:sz w:val="20"/>
        </w:rPr>
        <w:t xml:space="preserve"> </w:t>
      </w:r>
      <w:r>
        <w:rPr>
          <w:rFonts w:ascii="Arial;sans-serif" w:hAnsi="Arial;sans-serif"/>
          <w:b w:val="false"/>
          <w:sz w:val="20"/>
        </w:rPr>
        <w:t>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pStyle w:val="TextBody"/>
        <w:bidi w:val="0"/>
        <w:spacing w:before="240" w:after="0"/>
        <w:jc w:val="both"/>
        <w:rPr>
          <w:rFonts w:ascii="Times New Roman" w:hAnsi="Times New Roman"/>
          <w:sz w:val="20"/>
        </w:rPr>
      </w:pPr>
      <w:r>
        <w:rPr>
          <w:rFonts w:ascii="Arial;sans-serif" w:hAnsi="Arial;sans-serif"/>
          <w:b w:val="false"/>
          <w:sz w:val="20"/>
        </w:rPr>
        <w:t>The Clearside License agreement expires on a country-by-country basis upon the later of the last to expire patent or ten years</w:t>
      </w:r>
      <w:r>
        <w:rPr>
          <w:rFonts w:ascii="Times New Roman" w:hAnsi="Times New Roman"/>
          <w:sz w:val="20"/>
        </w:rPr>
        <w:t xml:space="preserve"> </w:t>
      </w:r>
      <w:r>
        <w:rPr>
          <w:rFonts w:ascii="Arial;sans-serif" w:hAnsi="Arial;sans-serif"/>
          <w:b w:val="false"/>
          <w:sz w:val="20"/>
        </w:rPr>
        <w:t>from the date of the first commercial sale of a product.</w:t>
      </w:r>
    </w:p>
    <w:p>
      <w:pPr>
        <w:pStyle w:val="TextBody"/>
        <w:bidi w:val="0"/>
        <w:spacing w:before="240" w:after="0"/>
        <w:jc w:val="both"/>
        <w:rPr>
          <w:rFonts w:ascii="Times New Roman" w:hAnsi="Times New Roman"/>
          <w:sz w:val="20"/>
        </w:rPr>
      </w:pPr>
      <w:r>
        <w:rPr>
          <w:rFonts w:ascii="Arial;sans-serif" w:hAnsi="Arial;sans-serif"/>
          <w:b w:val="false"/>
          <w:sz w:val="20"/>
        </w:rPr>
        <w:t>The Company recognized no</w:t>
      </w:r>
      <w:r>
        <w:rPr>
          <w:rFonts w:ascii="Times New Roman" w:hAnsi="Times New Roman"/>
          <w:sz w:val="20"/>
        </w:rPr>
        <w:t xml:space="preserve"> </w:t>
      </w:r>
      <w:r>
        <w:rPr>
          <w:rFonts w:ascii="Arial;sans-serif" w:hAnsi="Arial;sans-serif"/>
          <w:b w:val="false"/>
          <w:sz w:val="20"/>
        </w:rPr>
        <w:t>expenses related to this agreement and related amendments for the three months ended March 31, 2023 and 2022.</w:t>
      </w:r>
      <w:r>
        <w:rPr>
          <w:rFonts w:ascii="Times New Roman" w:hAnsi="Times New Roman"/>
          <w:sz w:val="20"/>
        </w:rPr>
        <w:t xml:space="preserve"> </w:t>
      </w:r>
    </w:p>
    <w:p>
      <w:pPr>
        <w:pStyle w:val="TextBody"/>
        <w:bidi w:val="0"/>
        <w:spacing w:before="240" w:after="0"/>
        <w:jc w:val="left"/>
        <w:rPr>
          <w:rFonts w:ascii="Arial;sans-serif" w:hAnsi="Arial;sans-serif"/>
          <w:b/>
          <w:sz w:val="20"/>
        </w:rPr>
      </w:pPr>
      <w:r>
        <w:rPr>
          <w:rFonts w:ascii="Arial;sans-serif" w:hAnsi="Arial;sans-serif"/>
          <w:b/>
          <w:sz w:val="20"/>
        </w:rPr>
        <w:t>13. Net Loss Per Share</w:t>
      </w:r>
    </w:p>
    <w:p>
      <w:pPr>
        <w:pStyle w:val="TextBody"/>
        <w:bidi w:val="0"/>
        <w:spacing w:before="80" w:after="0"/>
        <w:jc w:val="both"/>
        <w:rPr>
          <w:rFonts w:ascii="Times New Roman" w:hAnsi="Times New Roman"/>
          <w:sz w:val="20"/>
        </w:rPr>
      </w:pPr>
      <w:r>
        <w:rPr>
          <w:rFonts w:ascii="Arial;sans-serif" w:hAnsi="Arial;sans-serif"/>
          <w:b w:val="false"/>
          <w:sz w:val="20"/>
        </w:rPr>
        <w:t>Basic net loss per share is calculated by dividing the net loss per common share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The Company has calculated basic and diluted net loss per share for the three months ended March 31, 2023 and 2022 as follows (in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8984" w:type="dxa"/>
        <w:jc w:val="left"/>
        <w:tblInd w:w="0" w:type="dxa"/>
        <w:tblLayout w:type="fixed"/>
        <w:tblCellMar>
          <w:top w:w="28" w:type="dxa"/>
          <w:left w:w="28" w:type="dxa"/>
          <w:bottom w:w="28" w:type="dxa"/>
          <w:right w:w="28" w:type="dxa"/>
        </w:tblCellMar>
      </w:tblPr>
      <w:tblGrid>
        <w:gridCol w:w="5761"/>
        <w:gridCol w:w="146"/>
        <w:gridCol w:w="211"/>
        <w:gridCol w:w="1066"/>
        <w:gridCol w:w="166"/>
        <w:gridCol w:w="146"/>
        <w:gridCol w:w="211"/>
        <w:gridCol w:w="1066"/>
        <w:gridCol w:w="21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8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(17,466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(12,835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Weighted-average common stock outstanding—basic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37,784,282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29,213,632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 per common share—basic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The following potentially dilutive securities were excluded from the computation of the diluted net loss per share for the periods presented because their effect would have been antidilutive:</w:t>
      </w:r>
      <w:r>
        <w:rPr>
          <w:rFonts w:ascii="Times New Roman" w:hAnsi="Times New Roman"/>
          <w:sz w:val="20"/>
        </w:rPr>
        <w:t xml:space="preserve"> </w:t>
      </w:r>
    </w:p>
    <w:p>
      <w:pPr>
        <w:pStyle w:val="TextBody"/>
        <w:bidi w:val="0"/>
        <w:spacing w:before="0" w:after="0"/>
        <w:jc w:val="left"/>
        <w:rPr/>
      </w:pPr>
      <w:r>
        <w:rPr/>
        <w:t> </w:t>
      </w:r>
    </w:p>
    <w:tbl>
      <w:tblPr>
        <w:tblW w:w="7419" w:type="dxa"/>
        <w:jc w:val="left"/>
        <w:tblInd w:w="0" w:type="dxa"/>
        <w:tblLayout w:type="fixed"/>
        <w:tblCellMar>
          <w:top w:w="28" w:type="dxa"/>
          <w:left w:w="28" w:type="dxa"/>
          <w:bottom w:w="28" w:type="dxa"/>
          <w:right w:w="28" w:type="dxa"/>
        </w:tblCellMar>
      </w:tblPr>
      <w:tblGrid>
        <w:gridCol w:w="4576"/>
        <w:gridCol w:w="146"/>
        <w:gridCol w:w="146"/>
        <w:gridCol w:w="961"/>
        <w:gridCol w:w="146"/>
        <w:gridCol w:w="146"/>
        <w:gridCol w:w="146"/>
        <w:gridCol w:w="961"/>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 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4,891,746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4,282,862</w:t>
            </w:r>
          </w:p>
        </w:tc>
        <w:tc>
          <w:tcPr>
            <w:tcW w:w="1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Restricted stock units that vest into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566,064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227,854</w:t>
            </w:r>
          </w:p>
        </w:tc>
        <w:tc>
          <w:tcPr>
            <w:tcW w:w="1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Warrants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12,686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potential dilutive shares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5,470,496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4,523,402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Arial;sans-serif" w:hAnsi="Arial;sans-serif"/>
          <w:b/>
          <w:sz w:val="20"/>
        </w:rPr>
      </w:pPr>
      <w:r>
        <w:rPr>
          <w:rFonts w:ascii="Arial;sans-serif" w:hAnsi="Arial;sans-serif"/>
          <w:b/>
          <w:sz w:val="20"/>
        </w:rPr>
        <w:t>14. Income Taxes</w:t>
      </w:r>
    </w:p>
    <w:p>
      <w:pPr>
        <w:pStyle w:val="TextBody"/>
        <w:bidi w:val="0"/>
        <w:spacing w:before="80" w:after="0"/>
        <w:jc w:val="both"/>
        <w:rPr>
          <w:rFonts w:ascii="Times New Roman" w:hAnsi="Times New Roman"/>
          <w:sz w:val="20"/>
        </w:rPr>
      </w:pPr>
      <w:r>
        <w:rPr>
          <w:rFonts w:ascii="Arial;sans-serif" w:hAnsi="Arial;sans-serif"/>
          <w:b w:val="false"/>
          <w:sz w:val="20"/>
        </w:rPr>
        <w:t>The Company estimates an annual effective tax rate of 0% for the year ending December 31, 2023 as the Company incurred losses for the three months ended March 31, 2023, and is forecasting additional losses through the remainder of fiscal year ending December 31, 2023, resulting in an estimated net loss for both financial statement and tax purposes for the year ending December 31, 2023. Therefore, no federal or state income taxes are expected and none have been recorded at this time. Income taxes have been accounted for using the liability method.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of March 31, 2023, the Company had no</w:t>
      </w:r>
      <w:r>
        <w:rPr>
          <w:rFonts w:ascii="Times New Roman" w:hAnsi="Times New Roman"/>
          <w:sz w:val="20"/>
        </w:rPr>
        <w:t xml:space="preserve"> </w:t>
      </w:r>
      <w:r>
        <w:rPr>
          <w:rFonts w:ascii="Arial;sans-serif" w:hAnsi="Arial;sans-serif"/>
          <w:b w:val="false"/>
          <w:sz w:val="20"/>
        </w:rPr>
        <w:t>unrecognized income tax benefits that would reduce the Company’s effective tax rate if recognized.</w:t>
      </w:r>
      <w:r>
        <w:rPr>
          <w:rFonts w:ascii="Times New Roman" w:hAnsi="Times New Roman"/>
          <w:sz w:val="20"/>
        </w:rPr>
        <w:t xml:space="preserve"> </w:t>
      </w:r>
    </w:p>
    <w:p>
      <w:pPr>
        <w:pStyle w:val="TextBody"/>
        <w:bidi w:val="0"/>
        <w:spacing w:before="240" w:after="0"/>
        <w:jc w:val="left"/>
        <w:rPr>
          <w:rFonts w:ascii="Arial;sans-serif" w:hAnsi="Arial;sans-serif"/>
          <w:b/>
          <w:sz w:val="20"/>
        </w:rPr>
      </w:pPr>
      <w:r>
        <w:rPr>
          <w:rFonts w:ascii="Arial;sans-serif" w:hAnsi="Arial;sans-serif"/>
          <w:b/>
          <w:sz w:val="20"/>
        </w:rPr>
        <w:t>15. Subsequent Events</w:t>
      </w:r>
    </w:p>
    <w:p>
      <w:pPr>
        <w:pStyle w:val="TextBody"/>
        <w:bidi w:val="0"/>
        <w:spacing w:before="80" w:after="0"/>
        <w:jc w:val="both"/>
        <w:rPr>
          <w:rFonts w:ascii="Arial;sans-serif" w:hAnsi="Arial;sans-serif"/>
          <w:b w:val="false"/>
          <w:sz w:val="20"/>
        </w:rPr>
      </w:pPr>
      <w:r>
        <w:rPr>
          <w:rFonts w:ascii="Arial;sans-serif" w:hAnsi="Arial;sans-serif"/>
          <w:b w:val="false"/>
          <w:sz w:val="20"/>
        </w:rPr>
        <w:t>Subsequent events have been evaluated through the date of filing of the unaudited condensed consolidated financial statements. The Company has not identified any subsequent events that require disclosure.</w:t>
      </w:r>
    </w:p>
    <w:p>
      <w:pPr>
        <w:pStyle w:val="TextBody"/>
        <w:bidi w:val="0"/>
        <w:spacing w:before="240" w:after="0"/>
        <w:jc w:val="center"/>
        <w:rPr>
          <w:rFonts w:ascii="Arial;sans-serif" w:hAnsi="Arial;sans-serif"/>
          <w:b w:val="false"/>
          <w:sz w:val="20"/>
        </w:rPr>
      </w:pPr>
      <w:r>
        <w:rPr>
          <w:rFonts w:ascii="Arial;sans-serif" w:hAnsi="Arial;sans-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sz w:val="20"/>
        </w:rPr>
      </w:pPr>
      <w:bookmarkStart w:id="11" w:name="item_2_mda"/>
      <w:bookmarkEnd w:id="11"/>
      <w:r>
        <w:rPr>
          <w:rFonts w:ascii="Arial;sans-serif" w:hAnsi="Arial;sans-serif"/>
          <w:b/>
          <w:sz w:val="20"/>
        </w:rPr>
        <w:t>Item 2. Management’s Discussion and Analysis of Financial Condition and Results of Operations.</w:t>
      </w:r>
    </w:p>
    <w:p>
      <w:pPr>
        <w:pStyle w:val="TextBody"/>
        <w:bidi w:val="0"/>
        <w:spacing w:before="0" w:after="0"/>
        <w:jc w:val="left"/>
        <w:rPr/>
      </w:pPr>
      <w:r>
        <w:rPr/>
        <w:t> </w:t>
      </w:r>
    </w:p>
    <w:p>
      <w:pPr>
        <w:pStyle w:val="TextBody"/>
        <w:bidi w:val="0"/>
        <w:spacing w:before="0" w:after="0"/>
        <w:jc w:val="both"/>
        <w:rPr>
          <w:rFonts w:ascii="Arial;sans-serif" w:hAnsi="Arial;sans-serif"/>
          <w:b w:val="false"/>
          <w:i/>
          <w:sz w:val="20"/>
        </w:rPr>
      </w:pPr>
      <w:r>
        <w:rPr>
          <w:rFonts w:ascii="Arial;sans-serif" w:hAnsi="Arial;sans-serif"/>
          <w:b w:val="false"/>
          <w:i/>
          <w:sz w:val="20"/>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pStyle w:val="TextBody"/>
        <w:bidi w:val="0"/>
        <w:spacing w:before="240" w:after="0"/>
        <w:jc w:val="left"/>
        <w:rPr>
          <w:rFonts w:ascii="Times New Roman" w:hAnsi="Times New Roman"/>
          <w:sz w:val="20"/>
        </w:rPr>
      </w:pPr>
      <w:r>
        <w:rPr>
          <w:rFonts w:ascii="Arial;sans-serif" w:hAnsi="Arial;sans-serif"/>
          <w:b/>
          <w:sz w:val="20"/>
        </w:rPr>
        <w:t>Overview</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are a clinical-stage biotechnology company envisioning a new way to treat cancer. Leveraging our novel targeted oncology platform, we have the goal to develop a new standard of care across multiple cancer indications. Our initial focus is on ocular and urologic oncology where the disease is diagnosed early and there is a high unmet medical need for targeted local therapies. Our proprietary platform enables the targeting of a broad range of solid tumors using Virus-like Particles, or VLPs, that can be conjugated with drugs or loaded with nucleic acids to create Virus-like Drug Conjugates, or VDCs. Our VDCs are largely agnostic to tumor type and can recognize a subset of modified tumor associated glycosaminoglycans, or GAGs, that are part of the heparan sulphate chain of HSPGs expressed on the cell surface of many tumor cells and in the tumor microenvironment.</w:t>
      </w:r>
    </w:p>
    <w:p>
      <w:pPr>
        <w:pStyle w:val="TextBody"/>
        <w:bidi w:val="0"/>
        <w:spacing w:before="240" w:after="0"/>
        <w:jc w:val="both"/>
        <w:rPr>
          <w:rFonts w:ascii="Arial;sans-serif" w:hAnsi="Arial;sans-serif"/>
          <w:b w:val="false"/>
          <w:sz w:val="20"/>
        </w:rPr>
      </w:pPr>
      <w:r>
        <w:rPr>
          <w:rFonts w:ascii="Arial;sans-serif" w:hAnsi="Arial;sans-serif"/>
          <w:b w:val="false"/>
          <w:sz w:val="20"/>
        </w:rPr>
        <w:t>Bel-sar, our first VDC candidate, is being developed for the first-line treatment of early-stage choroidal melanoma, a rare disease with no drugs approved where the standard of care leaves many patients with blindness. We have received orphan drug designation for the treatment of uveal melanoma from the U.S Food and Drug Administration, or the FDA, and the European Medicines Agency, or EMA, and fast track designation from the FDA for the treatment of choroidal melanoma. We have completed a Phase 1b/2 trial using intravitreal administration that has demonstrated clinical proof of concept, assessed using endpoints in alignment with the feedback from the FDA. We are currently evaluating suprachoroidal, or SC, administration of bel-sar in a Phase 2 trial. Enrollment is complete in the Phase 2 trial, and updated interim data of patients treated with the therapeutic regimen intended to be used in the Phase 3 trial is on track to be presented in the second half of 2023. In February 2023 we presented average nine-month interim safety and efficacy data from this ongoing trial at Macula Society’s Annual Meeting which demonstrated a favorable safety profile with no posterior inflammation and no treatment-related serious adverse events, or SAEs, reported as of January 10, 2023. The results, with an average of nine months of follow up in patients who received a therapeutic regimen with three cycles of therapy, and who match the criteria for the planned global Phase 3 trial (n=8), showed a statistically significant reduction in the tumor growth rate (-0.289 mm/yr, p = &lt;0.0001) compared to each patient’s documented growth rate at study entry, and a 100% (8/8) tumor control. In addition, the visual acuity preservation in the group of patients was 88% (7/8), with the majority of patients being at high-risk for vision loss with tumors close to fovea or optic disk. We have selected the SC route to conduct our global Phase 3 trial in alignment with regulatory agencies. The Phase 3 clinical trial design incorporates guidance and feedback from the FDA following a recent Type C meeting. The FDA recommended that the Phase 3 trial follow a standard three-arm randomized, controlled and masked design. The trial is intended to enroll approximately 100 patients and it will be randomized 2:1:2 to receive investigational therapeutic regimen bel-sar, low dose regimen bel-sar or a sham control. The primary efficacy analysis is planned to be a time to event composite endpoint that will compare the tumor control and visual acuity of the therapeutic regimen group to sham when the last patient meets 12 months of follow up. We are currently conducting start up activities for the global Phase 3 trial with the goal to dose our first patient in the first half of 2023. We are also developing bel-sar for additional ocular oncology indications and have an open IND in the United States for choroidal metastasis, supporting the potential of bel-sar to provide a novel treatment option that preserves vision for these patients. Choroidal metastasis is a high unmet medical need and the most common intraocular malignancy that is caused by multiple primary cancers in the body that metastasize to the eye (e.g., breast and lung cancer). These patients are treated by the same ocular oncologists that treat choroidal melanoma and there are no drugs approved that can treat the lesion in the eye and preserve vision. We received fast track designation from the FDA’s Division of Oncology and plan to initiate startup activities for the Phase 2 trial in this indication in the second half of 2023.</w:t>
      </w:r>
    </w:p>
    <w:p>
      <w:pPr>
        <w:pStyle w:val="TextBody"/>
        <w:bidi w:val="0"/>
        <w:spacing w:before="240" w:after="0"/>
        <w:jc w:val="left"/>
        <w:rPr>
          <w:rFonts w:ascii="Times New Roman" w:hAnsi="Times New Roman"/>
          <w:sz w:val="20"/>
        </w:rPr>
      </w:pPr>
      <w:r>
        <w:rPr>
          <w:rFonts w:ascii="Arial;sans-serif" w:hAnsi="Arial;sans-serif"/>
          <w:b w:val="false"/>
          <w:sz w:val="20"/>
        </w:rPr>
        <w:t>In addition to our ocular oncology franchise, we are leveraging our targeted oncology platform to develop bel-sar in the field of urologic oncology with an initial indication for the treatment of non-muscle invasive bladder cancer, or NMIBC, where we received fast track designation by the FDA’s Division of Oncology. We initiated enrollment in a Phase 1 trial and we plan to present initial data from this trial in the second half of 2023.</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We were incorporated as a Delaware corporation in 2009 and, as of August 1, 2022,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March 31, 2023, we have raised an aggregate of approximately $320.8 million of gross proceeds primarily from private placements of our equity and convertible preferred stock as well as through the issuance of our common stock. On December 5, 2022, we issued and sold 7,705,000 shares of common stock, including the full exercise of the underwriters’ option to purchase additional shares at a price to the public of $12.00 per share, for aggregate gross proceeds of $92.5 million, or the Follow-On Offering. We received approximately $86.7 million in net proceeds from the Follow-On Offering after deducting underwriting discounts, commissions and offering expenses. On November 1, 2022, we filed a shelf registration statement on Form S-3, or the 2022 Shelf, with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sans-serif" w:hAnsi="Arial;sans-serif"/>
          <w:b w:val="false"/>
          <w:sz w:val="13"/>
        </w:rPr>
        <w:t>SM</w:t>
      </w:r>
      <w:r>
        <w:rPr>
          <w:rFonts w:ascii="Arial;sans-serif" w:hAnsi="Arial;sans-serif"/>
          <w:b w:val="false"/>
          <w:sz w:val="20"/>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We issued 732,189 shares of our common stock at an average price of $12.51 for aggregate gross proceeds of $9.2 million as of December 31, 2022 under the ATM, and issued no common stock for three months ended March 31, 2023. In November 2021, we issued and sold 6,210,000 shares of our common stock, including the full exercise of the underwriters’ option to purchase additional shares at a price to the public of $14.00 per share for aggregate gross proceeds of $86.9 million in our initial public offering, or IPO. We received approximately $78.3 million in net proceeds from the IPO after deducting underwriting discounts, commissions and offering expenses.</w:t>
      </w:r>
    </w:p>
    <w:p>
      <w:pPr>
        <w:pStyle w:val="TextBody"/>
        <w:bidi w:val="0"/>
        <w:spacing w:before="240" w:after="0"/>
        <w:jc w:val="both"/>
        <w:rPr>
          <w:rFonts w:ascii="Times New Roman" w:hAnsi="Times New Roman"/>
          <w:sz w:val="20"/>
        </w:rPr>
      </w:pPr>
      <w:r>
        <w:rPr>
          <w:rFonts w:ascii="Arial;sans-serif" w:hAnsi="Arial;sans-serif"/>
          <w:b w:val="false"/>
          <w:sz w:val="20"/>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$17.5 million and $12.8 million for the three months ended March 31, 2023 and 2022, respectively. As of March 31, 2023, we had an accumulated deficit of $228.4 million. In addition, our losses from operations may fluctuate significantly from quarter-to-quarter and year-to-year, depending on the timing of our clinical trials and our expenditures on other research and development activities.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conduct our current and future clinical trials of bel-sar;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progress the preclinical and clinical development of new indications;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establish our manufacturing capability, including developing our contract development and manufacturing relationships;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seek to identify and develop additional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seek regulatory approval of our current and future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expand our operational, financial, and management systems and increase personnel, including personnel to support our preclinical and clinical development, manufacturing and commercialization efforts;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maintain, expand and protect our intellectual property portfolio;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incur additional legal, accounting, or other expenses in operating our business, including the additional costs associated with operating as a public company. </w:t>
      </w:r>
    </w:p>
    <w:p>
      <w:pPr>
        <w:pStyle w:val="TextBody"/>
        <w:bidi w:val="0"/>
        <w:spacing w:before="240" w:after="0"/>
        <w:jc w:val="both"/>
        <w:rPr>
          <w:rFonts w:ascii="Times New Roman" w:hAnsi="Times New Roman"/>
          <w:sz w:val="20"/>
        </w:rPr>
      </w:pPr>
      <w:r>
        <w:rPr>
          <w:rFonts w:ascii="Arial;sans-serif" w:hAnsi="Arial;sans-serif"/>
          <w:b w:val="false"/>
          <w:sz w:val="20"/>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of March 31, 2023, we had cash and cash equivalents and marketable securities of $173.5 million. We believe that our existing cash and cash equivalents and marketable securities will enable us to fund our operating expenses and capital expenditure requirements into 2025. We have based this estimate on assumptions that may prove to be wrong, and we could exhaust our available capital resources sooner than we expect. See “—Liquidity and Capital Resources” below.</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Impact of the COVID-19 Pandemic</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continue to closely monitor the impact of the COVID-19 pandemic on all aspects of our business, including how it may continue to impact our operations and the operations of our suppliers, vendors and business partners. In addition, we have taken steps to minimize the current environment’s impact on our business and strategy, including devising contingency plans and securing additional resources from third-party service providers. To date, we’ve only encountered minor delays in our manufacturing process due to a supply chain constraints.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Beyond the impact on our pipeline,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COVID-19 or treat its impact, including vaccination and booster shot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results of operations and financial condition. Although to date, our business has not been materially impacted by COVID-19, it is possible that our clinical development timelines could be negatively affected by COVID-19, which could materially and adversely affect our business, financial condition and results of operations. See Item 1A “Risk Factors” of this Quarterly Report on Form 10-Q for a discussion of the potential adverse impact of the COVID-19 pandemic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sz w:val="20"/>
        </w:rPr>
        <w:t>Components of Our Results of Operations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i/>
          <w:sz w:val="20"/>
        </w:rPr>
        <w:t>Revenue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Operating Expenses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i/>
          <w:sz w:val="20"/>
        </w:rPr>
        <w:t>Research and Development Expenses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Research and development expenses consist primarily of costs incurred for our research activities, including our discovery efforts and the development of our bel-sar program, and include:</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employee-related expenses, including salaries, related-benefits and stock-based compensation expense for employees engaged in research and development functions;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fees paid to consultants for services directly related to our product development and regulatory efforts;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expenses associated with conducting preclinical studies performed by ourselves, outside vendors or academic collaborators;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expenses incurred under agreements with contract research organizations, or CROs, as well as consultants that conduct and provide supplies for our preclinical studies and clinical trials; </w:t>
      </w:r>
    </w:p>
    <w:p>
      <w:pPr>
        <w:pStyle w:val="TextBody"/>
        <w:bidi w:val="0"/>
        <w:spacing w:before="240" w:after="0"/>
        <w:jc w:val="center"/>
        <w:rPr>
          <w:rFonts w:ascii="Arial;sans-serif" w:hAnsi="Arial;sans-serif"/>
          <w:b w:val="false"/>
          <w:sz w:val="20"/>
        </w:rPr>
      </w:pPr>
      <w:r>
        <w:rPr>
          <w:rFonts w:ascii="Arial;sans-serif" w:hAnsi="Arial;sans-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cost of manufacturing bel-sar, including the potential cost of CMOs that manufacture product for use in our preclinical studies and clinical trials and perform analytical testing, scale-up and other services in connection with our development activities;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costs associated with preclinical activities and development activities;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costs associated with our intellectual property portfolio;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costs related to compliance with regulatory requirements;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allocated expenses for utilities and other facility-related costs. </w:t>
      </w:r>
    </w:p>
    <w:p>
      <w:pPr>
        <w:pStyle w:val="TextBody"/>
        <w:bidi w:val="0"/>
        <w:spacing w:before="240" w:after="0"/>
        <w:jc w:val="both"/>
        <w:rPr>
          <w:rFonts w:ascii="Times New Roman" w:hAnsi="Times New Roman"/>
          <w:sz w:val="20"/>
        </w:rPr>
      </w:pPr>
      <w:r>
        <w:rPr>
          <w:rFonts w:ascii="Arial;sans-serif" w:hAnsi="Arial;sans-serif"/>
          <w:b w:val="false"/>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i/>
          <w:sz w:val="20"/>
        </w:rPr>
        <w:t>General and Administrative Expenses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growth of the Company, including costs of accounting, audit, legal, regulatory and tax compliance services; director and officer insurance costs; and investor and public relations costs.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i/>
          <w:sz w:val="20"/>
        </w:rPr>
        <w:t>Other Income (Expense)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Our other income (expense) consists of accretion, interest income and realized losses on marketable securities, loss on disposal of fixed assets, and interest income on our invested cash balances.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i/>
          <w:sz w:val="20"/>
        </w:rPr>
        <w:t>Income Taxes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Since our inception, we have not recorded any U.S. federal or state income tax benefits for the net losses we have incurred in any year or for our earned research and development tax credits, due to the uncertainty of realizing a benefit from those items. As of December 31, 2022, we had federal gross operating loss carryforwards of approximately $155.1 million which may be available to offset future taxable income, of which $44.2 million begin to expire in 2029 and go through 2037 and $110.9 million do not expire. The state gross operating loss carryforwards of $127.5 million, which may be available to offset future taxable income and which would begin to expire in 2030, except for $0.7 million of state net operating losses, or NOLs, that do not expire. As of December 31, 2022, we had federal and state research and experimentation credit carryforwards of $6.4 million and $1.9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sz w:val="20"/>
        </w:rPr>
        <w:t>Results of Operations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i/>
          <w:sz w:val="20"/>
        </w:rPr>
        <w:t>Comparison of the Three Months Ended March 31, 2023 and 2022</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The following table summarizes our results of operations for the three months ended March 31, 2023 and 2022:</w:t>
      </w:r>
    </w:p>
    <w:tbl>
      <w:tblPr>
        <w:tblW w:w="8803" w:type="dxa"/>
        <w:jc w:val="left"/>
        <w:tblInd w:w="0" w:type="dxa"/>
        <w:tblLayout w:type="fixed"/>
        <w:tblCellMar>
          <w:top w:w="28" w:type="dxa"/>
          <w:left w:w="28" w:type="dxa"/>
          <w:bottom w:w="28" w:type="dxa"/>
          <w:right w:w="28" w:type="dxa"/>
        </w:tblCellMar>
      </w:tblPr>
      <w:tblGrid>
        <w:gridCol w:w="4501"/>
        <w:gridCol w:w="146"/>
        <w:gridCol w:w="211"/>
        <w:gridCol w:w="751"/>
        <w:gridCol w:w="166"/>
        <w:gridCol w:w="146"/>
        <w:gridCol w:w="211"/>
        <w:gridCol w:w="751"/>
        <w:gridCol w:w="166"/>
        <w:gridCol w:w="146"/>
        <w:gridCol w:w="211"/>
        <w:gridCol w:w="646"/>
        <w:gridCol w:w="75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Change</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6" w:type="dxa"/>
            <w:gridSpan w:val="6"/>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center"/>
              <w:rPr/>
            </w:pPr>
            <w:r>
              <w:rPr/>
              <w:t> </w:t>
            </w:r>
          </w:p>
        </w:tc>
        <w:tc>
          <w:tcPr>
            <w:tcW w:w="751" w:type="dxa"/>
            <w:tcBorders/>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280"/>
              <w:jc w:val="right"/>
              <w:rPr/>
            </w:pPr>
            <w:r>
              <w:rPr/>
              <w:t> </w:t>
            </w:r>
          </w:p>
        </w:tc>
      </w:tr>
      <w:tr>
        <w:trPr/>
        <w:tc>
          <w:tcPr>
            <w:tcW w:w="450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6,129</w:t>
            </w:r>
          </w:p>
        </w:tc>
        <w:tc>
          <w:tcPr>
            <w:tcW w:w="751" w:type="dxa"/>
            <w:tcBorders/>
            <w:vAlign w:val="center"/>
          </w:tcPr>
          <w:p>
            <w:pPr>
              <w:pStyle w:val="TableContents"/>
              <w:bidi w:val="0"/>
              <w:spacing w:before="0" w:after="0"/>
              <w:ind w:left="0" w:right="0" w:firstLine="280"/>
              <w:jc w:val="left"/>
              <w:rPr/>
            </w:pPr>
            <w:r>
              <w:rPr/>
              <w:t> </w:t>
            </w:r>
          </w:p>
        </w:tc>
      </w:tr>
      <w:tr>
        <w:trPr/>
        <w:tc>
          <w:tcPr>
            <w:tcW w:w="450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504</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450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19,444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6,633</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(19,444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(6,633</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5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280"/>
              <w:jc w:val="right"/>
              <w:rPr/>
            </w:pPr>
            <w:r>
              <w:rPr/>
              <w:t> </w:t>
            </w:r>
          </w:p>
        </w:tc>
      </w:tr>
      <w:tr>
        <w:trPr/>
        <w:tc>
          <w:tcPr>
            <w:tcW w:w="450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income, including amortization of discount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1,966</w:t>
            </w:r>
          </w:p>
        </w:tc>
        <w:tc>
          <w:tcPr>
            <w:tcW w:w="751" w:type="dxa"/>
            <w:tcBorders/>
            <w:vAlign w:val="center"/>
          </w:tcPr>
          <w:p>
            <w:pPr>
              <w:pStyle w:val="TableContents"/>
              <w:bidi w:val="0"/>
              <w:spacing w:before="0" w:after="0"/>
              <w:ind w:left="0" w:right="0" w:firstLine="280"/>
              <w:jc w:val="left"/>
              <w:rPr/>
            </w:pPr>
            <w:r>
              <w:rPr/>
              <w:t> </w:t>
            </w:r>
          </w:p>
        </w:tc>
      </w:tr>
      <w:tr>
        <w:trPr/>
        <w:tc>
          <w:tcPr>
            <w:tcW w:w="450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Loss on disposal of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751" w:type="dxa"/>
            <w:tcBorders/>
            <w:vAlign w:val="center"/>
          </w:tcPr>
          <w:p>
            <w:pPr>
              <w:pStyle w:val="TableContents"/>
              <w:bidi w:val="0"/>
              <w:spacing w:before="0" w:after="0"/>
              <w:ind w:left="0" w:right="0" w:firstLine="280"/>
              <w:jc w:val="left"/>
              <w:rPr/>
            </w:pPr>
            <w:r>
              <w:rPr/>
              <w:t> </w:t>
            </w:r>
          </w:p>
        </w:tc>
      </w:tr>
      <w:tr>
        <w:trPr/>
        <w:tc>
          <w:tcPr>
            <w:tcW w:w="450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other income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2,002</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(17,466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(4,631</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Arial;sans-serif" w:hAnsi="Arial;sans-serif"/>
          <w:b w:val="false"/>
          <w:i/>
          <w:sz w:val="20"/>
        </w:rPr>
        <w:t>Research and Development Expenses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following table summarizes our research and development expenses for the three months ended March 31, 2023 and 2022:</w:t>
      </w:r>
      <w:r>
        <w:rPr>
          <w:rFonts w:ascii="Times New Roman" w:hAnsi="Times New Roman"/>
          <w:sz w:val="20"/>
        </w:rPr>
        <w:t xml:space="preserve"> </w:t>
      </w:r>
    </w:p>
    <w:tbl>
      <w:tblPr>
        <w:tblW w:w="7849" w:type="dxa"/>
        <w:jc w:val="left"/>
        <w:tblInd w:w="0" w:type="dxa"/>
        <w:tblLayout w:type="fixed"/>
        <w:tblCellMar>
          <w:top w:w="28" w:type="dxa"/>
          <w:left w:w="28" w:type="dxa"/>
          <w:bottom w:w="28" w:type="dxa"/>
          <w:right w:w="28" w:type="dxa"/>
        </w:tblCellMar>
      </w:tblPr>
      <w:tblGrid>
        <w:gridCol w:w="3811"/>
        <w:gridCol w:w="146"/>
        <w:gridCol w:w="216"/>
        <w:gridCol w:w="708"/>
        <w:gridCol w:w="149"/>
        <w:gridCol w:w="149"/>
        <w:gridCol w:w="216"/>
        <w:gridCol w:w="600"/>
        <w:gridCol w:w="146"/>
        <w:gridCol w:w="146"/>
        <w:gridCol w:w="214"/>
        <w:gridCol w:w="597"/>
        <w:gridCol w:w="75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3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8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Change</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038" w:type="dxa"/>
            <w:gridSpan w:val="6"/>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pPr>
            <w:r>
              <w:rPr/>
              <w:t> </w:t>
            </w:r>
          </w:p>
        </w:tc>
        <w:tc>
          <w:tcPr>
            <w:tcW w:w="751" w:type="dxa"/>
            <w:tcBorders/>
            <w:vAlign w:val="center"/>
          </w:tcPr>
          <w:p>
            <w:pPr>
              <w:pStyle w:val="TableContents"/>
              <w:bidi w:val="0"/>
              <w:spacing w:before="0" w:after="0"/>
              <w:ind w:left="0" w:right="0" w:firstLine="280"/>
              <w:jc w:val="center"/>
              <w:rPr/>
            </w:pPr>
            <w:r>
              <w:rPr/>
              <w:t> </w:t>
            </w:r>
          </w:p>
        </w:tc>
      </w:tr>
      <w:tr>
        <w:trPr/>
        <w:tc>
          <w:tcPr>
            <w:tcW w:w="38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Preclinical</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251</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w:t>
            </w:r>
          </w:p>
        </w:tc>
        <w:tc>
          <w:tcPr>
            <w:tcW w:w="75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8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Clinical trials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2,887</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1,691</w:t>
            </w:r>
          </w:p>
        </w:tc>
        <w:tc>
          <w:tcPr>
            <w:tcW w:w="751" w:type="dxa"/>
            <w:tcBorders/>
            <w:vAlign w:val="center"/>
          </w:tcPr>
          <w:p>
            <w:pPr>
              <w:pStyle w:val="TableContents"/>
              <w:bidi w:val="0"/>
              <w:spacing w:before="0" w:after="0"/>
              <w:ind w:left="0" w:right="0" w:firstLine="280"/>
              <w:jc w:val="left"/>
              <w:rPr/>
            </w:pPr>
            <w:r>
              <w:rPr/>
              <w:t> </w:t>
            </w:r>
          </w:p>
        </w:tc>
      </w:tr>
      <w:tr>
        <w:trPr/>
        <w:tc>
          <w:tcPr>
            <w:tcW w:w="38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Manufacturing development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3,973</w:t>
            </w:r>
          </w:p>
        </w:tc>
        <w:tc>
          <w:tcPr>
            <w:tcW w:w="14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2,185</w:t>
            </w:r>
          </w:p>
        </w:tc>
        <w:tc>
          <w:tcPr>
            <w:tcW w:w="751" w:type="dxa"/>
            <w:tcBorders/>
            <w:vAlign w:val="center"/>
          </w:tcPr>
          <w:p>
            <w:pPr>
              <w:pStyle w:val="TableContents"/>
              <w:bidi w:val="0"/>
              <w:spacing w:before="0" w:after="0"/>
              <w:ind w:left="0" w:right="0" w:firstLine="280"/>
              <w:jc w:val="left"/>
              <w:rPr/>
            </w:pPr>
            <w:r>
              <w:rPr/>
              <w:t> </w:t>
            </w:r>
          </w:p>
        </w:tc>
      </w:tr>
      <w:tr>
        <w:trPr/>
        <w:tc>
          <w:tcPr>
            <w:tcW w:w="38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Personnel/overhead expenses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7,294</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2,307</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381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14,405</w:t>
            </w:r>
          </w:p>
        </w:tc>
        <w:tc>
          <w:tcPr>
            <w:tcW w:w="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6,129</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Arial;sans-serif" w:hAnsi="Arial;sans-serif"/>
          <w:b w:val="false"/>
          <w:sz w:val="20"/>
        </w:rPr>
      </w:pPr>
      <w:r>
        <w:rPr>
          <w:rFonts w:ascii="Arial;sans-serif" w:hAnsi="Arial;sans-serif"/>
          <w:b w:val="false"/>
          <w:sz w:val="20"/>
        </w:rPr>
        <w:t>Research and development expenses increased to $14.4 million for the three months ended March 31, 2023 from $8.3 million for the three months ended March 31, 2022, primarily due to ongoing clinical costs associated with the progression of our phase 2 study and CRO costs associated with the start of our Phase 3 global trial, manufacturing and development costs for bel-sar, and higher personnel expenses from growing headcount.</w:t>
      </w:r>
    </w:p>
    <w:p>
      <w:pPr>
        <w:pStyle w:val="TextBody"/>
        <w:bidi w:val="0"/>
        <w:spacing w:before="240" w:after="0"/>
        <w:jc w:val="both"/>
        <w:rPr>
          <w:rFonts w:ascii="Times New Roman" w:hAnsi="Times New Roman"/>
          <w:sz w:val="20"/>
        </w:rPr>
      </w:pPr>
      <w:r>
        <w:rPr>
          <w:rFonts w:ascii="Arial;sans-serif" w:hAnsi="Arial;sans-serif"/>
          <w:b w:val="false"/>
          <w:i/>
          <w:sz w:val="20"/>
        </w:rPr>
        <w:t>General and Administrative Expenses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General and administrative expenses increased to $5.0 million for the three months ended March 31, 2023 from $4.5 million for the three months ended March 31, 2022, primarily driven by personnel expenses, as well as increases in general corporate expenses related to growth of the Company.</w:t>
      </w:r>
      <w:r>
        <w:rPr>
          <w:rFonts w:ascii="Times New Roman" w:hAnsi="Times New Roman"/>
          <w:sz w:val="20"/>
        </w:rPr>
        <w:t xml:space="preserve"> </w:t>
      </w:r>
    </w:p>
    <w:p>
      <w:pPr>
        <w:pStyle w:val="TextBody"/>
        <w:bidi w:val="0"/>
        <w:spacing w:before="8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sz w:val="20"/>
        </w:rPr>
        <w:t>Liquidity and Capital Resources</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To date we have funded our operations primarily through the sale of convertible preferred stock, and common stock. Through March 31, 2023, we have raised an aggregate of approximately $320.8 million of gross proceeds primarily from private placements of our equity and convertible preferred stock and warrants, as well as through the issuance of our common stock. On December 5, 2022, we issued and sold 7,705,000 shares of common stock, including the full exercise of the underwriters’ option to purchase additional shares at a price to the public of $12.00 per share for aggregate gross proceeds of $92.5 million in the Follow-On Offering. We received approximately $86.7 million in net proceeds from the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 We issued 732,189 shares of our common stock at an average price of $12.51 for aggregate gross proceeds of $9.2 million as of December 31, 2022 under the ATM, and issued no common stock for the three months ended March 31, 2023. In November 2021, we issued and sold a total of 6,210,000 shares in our IPO of our common stock, including the full exercise of the underwriters’ option to purchase additional shares, at a price to the public of $14.00 per share for aggregate gross proceeds of $86.9 million. We received approximately $78.3 million in net proceeds from the IPO after deducting underwriting discounts, commissions and offering expenses.</w:t>
      </w:r>
    </w:p>
    <w:p>
      <w:pPr>
        <w:pStyle w:val="TextBody"/>
        <w:bidi w:val="0"/>
        <w:spacing w:before="240" w:after="0"/>
        <w:jc w:val="both"/>
        <w:rPr>
          <w:rFonts w:ascii="Times New Roman" w:hAnsi="Times New Roman"/>
          <w:sz w:val="20"/>
        </w:rPr>
      </w:pPr>
      <w:r>
        <w:rPr>
          <w:rFonts w:ascii="Arial;sans-serif" w:hAnsi="Arial;sans-serif"/>
          <w:b/>
          <w:i/>
          <w:sz w:val="20"/>
        </w:rPr>
        <w:t>Cash Flows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following table summarizes our cash flows for each of the periods presented:</w:t>
      </w:r>
      <w:r>
        <w:rPr>
          <w:rFonts w:ascii="Times New Roman" w:hAnsi="Times New Roman"/>
          <w:sz w:val="20"/>
        </w:rPr>
        <w:t xml:space="preserve"> </w:t>
      </w:r>
    </w:p>
    <w:tbl>
      <w:tblPr>
        <w:tblW w:w="8849" w:type="dxa"/>
        <w:jc w:val="left"/>
        <w:tblInd w:w="0" w:type="dxa"/>
        <w:tblLayout w:type="fixed"/>
        <w:tblCellMar>
          <w:top w:w="28" w:type="dxa"/>
          <w:left w:w="28" w:type="dxa"/>
          <w:bottom w:w="28" w:type="dxa"/>
          <w:right w:w="28" w:type="dxa"/>
        </w:tblCellMar>
      </w:tblPr>
      <w:tblGrid>
        <w:gridCol w:w="6256"/>
        <w:gridCol w:w="146"/>
        <w:gridCol w:w="211"/>
        <w:gridCol w:w="751"/>
        <w:gridCol w:w="166"/>
        <w:gridCol w:w="146"/>
        <w:gridCol w:w="211"/>
        <w:gridCol w:w="751"/>
        <w:gridCol w:w="21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Three Months Ended</w:t>
              <w:br/>
              <w:t>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6" w:type="dxa"/>
            <w:gridSpan w:val="6"/>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6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(16,412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(15,200</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(66,879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(25,498</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(decrease)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(83,090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(40,681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val="false"/>
          <w:i/>
          <w:sz w:val="20"/>
        </w:rPr>
        <w:t>Operating Activities</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During the three months ended March 31, 2023, net cash used in operating activities was $16.4 million, primarily due to our net loss of $17.5 million and a decrease in accounts payable related to timing of vendor invoicing and payments, partially offset by an increase in stock compensation expense.</w:t>
      </w:r>
    </w:p>
    <w:p>
      <w:pPr>
        <w:pStyle w:val="TextBody"/>
        <w:bidi w:val="0"/>
        <w:spacing w:before="240" w:after="0"/>
        <w:jc w:val="both"/>
        <w:rPr>
          <w:rFonts w:ascii="Times New Roman" w:hAnsi="Times New Roman"/>
          <w:sz w:val="20"/>
        </w:rPr>
      </w:pPr>
      <w:r>
        <w:rPr>
          <w:rFonts w:ascii="Arial;sans-serif" w:hAnsi="Arial;sans-serif"/>
          <w:b w:val="false"/>
          <w:sz w:val="20"/>
        </w:rPr>
        <w:t>During the three months ended March 31, 2022, net cash used in operating activities was $15.2 million, primarily due to our net loss of $12.8 million and decrease in accrued expenses and other liabilities related to less employee accrued compensation and clinical trial accruals, partially offset by the non-cash charge related to stock compensation expense.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i/>
          <w:sz w:val="20"/>
        </w:rPr>
        <w:t>Investing Activities</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Net cash used in investing activities during the three months ended March 31, 2023 was $66.9 million primarily due to purchases of marketable securities and property and equipment, partially offset by proceeds from sale and maturities of marketable securities.</w:t>
      </w:r>
    </w:p>
    <w:p>
      <w:pPr>
        <w:pStyle w:val="TextBody"/>
        <w:bidi w:val="0"/>
        <w:spacing w:before="240" w:after="0"/>
        <w:jc w:val="both"/>
        <w:rPr>
          <w:rFonts w:ascii="Arial;sans-serif" w:hAnsi="Arial;sans-serif"/>
          <w:b w:val="false"/>
          <w:sz w:val="20"/>
        </w:rPr>
      </w:pPr>
      <w:r>
        <w:rPr>
          <w:rFonts w:ascii="Arial;sans-serif" w:hAnsi="Arial;sans-serif"/>
          <w:b w:val="false"/>
          <w:sz w:val="20"/>
        </w:rPr>
        <w:t>Net cash used in investing activities during the three months ended March 31, 2022 was $25.5 million due to purchases of property and equipment and marketable securities</w:t>
      </w:r>
    </w:p>
    <w:p>
      <w:pPr>
        <w:pStyle w:val="TextBody"/>
        <w:bidi w:val="0"/>
        <w:spacing w:before="240" w:after="0"/>
        <w:jc w:val="both"/>
        <w:rPr>
          <w:rFonts w:ascii="Times New Roman" w:hAnsi="Times New Roman"/>
          <w:sz w:val="20"/>
        </w:rPr>
      </w:pPr>
      <w:r>
        <w:rPr>
          <w:rFonts w:ascii="Arial;sans-serif" w:hAnsi="Arial;sans-serif"/>
          <w:b w:val="false"/>
          <w:i/>
          <w:sz w:val="20"/>
        </w:rPr>
        <w:t>Financing Activities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During the three months ended March 31, 2023, net cash provided by financing activities was $0.2 million from proceeds from stock options exercises and ESPP purchases.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During the three months ended March 31, 2022, net cash provided by financing activities was $0.01 million from proceeds from stock options exercises.</w:t>
      </w:r>
    </w:p>
    <w:p>
      <w:pPr>
        <w:pStyle w:val="TextBody"/>
        <w:bidi w:val="0"/>
        <w:spacing w:before="240" w:after="0"/>
        <w:jc w:val="center"/>
        <w:rPr>
          <w:rFonts w:ascii="Arial;sans-serif" w:hAnsi="Arial;sans-serif"/>
          <w:b w:val="false"/>
          <w:sz w:val="20"/>
        </w:rPr>
      </w:pPr>
      <w:r>
        <w:rPr>
          <w:rFonts w:ascii="Arial;sans-serif" w:hAnsi="Arial;sans-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Funding Requirements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scope, timing, progress, costs, and results of discovery, preclinical development, and clinical trials for our current and future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number of clinical trials required for regulatory approval of our current and future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costs, timing, and outcome of regulatory review of any of our current and future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cost of manufacturing clinical and commercial supplies of our current and future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revenue, if any, received from commercial sales of our product candidates for which we receive marketing approval;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expenses to attract, hire and retain, skilled personnel;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costs of operating as a public company;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ability to establish a commercially viable pricing structure and obtain approval for coverage and adequate reimbursement from third-party and government payers;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addressing any potential interruptions or delays resulting from factors related to the COVID-19 pandemic;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effect of competing technological and market developments;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extent to which we acquire or invest in businesses, products, and technologies; and</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unfavorable global economic conditions, which may exacerbate the magnitude of the factors discussed above. </w:t>
      </w:r>
    </w:p>
    <w:p>
      <w:pPr>
        <w:pStyle w:val="TextBody"/>
        <w:bidi w:val="0"/>
        <w:spacing w:before="240" w:after="0"/>
        <w:jc w:val="both"/>
        <w:rPr>
          <w:rFonts w:ascii="Times New Roman" w:hAnsi="Times New Roman"/>
          <w:sz w:val="20"/>
        </w:rPr>
      </w:pPr>
      <w:r>
        <w:rPr>
          <w:rFonts w:ascii="Arial;sans-serif" w:hAnsi="Arial;sans-serif"/>
          <w:b w:val="false"/>
          <w:sz w:val="20"/>
        </w:rPr>
        <w:t>A change in the outcome of any of these variables with respect to the development of a product candidate could mean a significant change in the costs and timing associated with the development of that product candidate. As of March 31, 2023, we had cash and cash equivalents and marketable securities of $173.5 million. Based on our research and development plans, we believe that our existing cash and cash equivalents, will be sufficient to fund our operations into 2025. We have based this estimate on assumptions that may prove to be wrong, and we could exhaust our available capital resources sooner than we expect.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resulting from the COVID-19 pandemic and otherwise.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sz w:val="20"/>
        </w:rPr>
      </w:pPr>
      <w:r>
        <w:rPr>
          <w:rFonts w:ascii="Arial;sans-serif" w:hAnsi="Arial;sans-serif"/>
          <w:b/>
          <w:sz w:val="20"/>
        </w:rPr>
        <w:t>Material Cash Requirements</w:t>
      </w:r>
    </w:p>
    <w:p>
      <w:pPr>
        <w:pStyle w:val="TextBody"/>
        <w:bidi w:val="0"/>
        <w:spacing w:before="80" w:after="0"/>
        <w:jc w:val="both"/>
        <w:rPr>
          <w:rFonts w:ascii="Arial;sans-serif" w:hAnsi="Arial;sans-serif"/>
          <w:b w:val="false"/>
          <w:sz w:val="20"/>
        </w:rPr>
      </w:pPr>
      <w:r>
        <w:rPr>
          <w:rFonts w:ascii="Arial;sans-serif" w:hAnsi="Arial;sans-serif"/>
          <w:b w:val="false"/>
          <w:sz w:val="20"/>
        </w:rPr>
        <w:t>The following table summarizes our contractual obligations and commitments as of March 31, 2023.</w:t>
      </w:r>
    </w:p>
    <w:tbl>
      <w:tblPr>
        <w:tblW w:w="9857" w:type="dxa"/>
        <w:jc w:val="left"/>
        <w:tblInd w:w="0" w:type="dxa"/>
        <w:tblLayout w:type="fixed"/>
        <w:tblCellMar>
          <w:top w:w="28" w:type="dxa"/>
          <w:left w:w="28" w:type="dxa"/>
          <w:bottom w:w="28" w:type="dxa"/>
          <w:right w:w="28" w:type="dxa"/>
        </w:tblCellMar>
      </w:tblPr>
      <w:tblGrid>
        <w:gridCol w:w="2956"/>
        <w:gridCol w:w="146"/>
        <w:gridCol w:w="211"/>
        <w:gridCol w:w="146"/>
        <w:gridCol w:w="691"/>
        <w:gridCol w:w="146"/>
        <w:gridCol w:w="146"/>
        <w:gridCol w:w="211"/>
        <w:gridCol w:w="200"/>
        <w:gridCol w:w="805"/>
        <w:gridCol w:w="146"/>
        <w:gridCol w:w="146"/>
        <w:gridCol w:w="211"/>
        <w:gridCol w:w="146"/>
        <w:gridCol w:w="586"/>
        <w:gridCol w:w="146"/>
        <w:gridCol w:w="146"/>
        <w:gridCol w:w="211"/>
        <w:gridCol w:w="146"/>
        <w:gridCol w:w="586"/>
        <w:gridCol w:w="146"/>
        <w:gridCol w:w="146"/>
        <w:gridCol w:w="211"/>
        <w:gridCol w:w="180"/>
        <w:gridCol w:w="855"/>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013" w:type="dxa"/>
            <w:gridSpan w:val="1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Payments Due by Period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Less than</w:t>
              <w:b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1 to 3</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3 to 5</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More than</w:t>
              <w:br/>
              <w:t>5 Years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53" w:type="dxa"/>
            <w:gridSpan w:val="22"/>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commitments(1)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33,181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16,539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33,181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2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16,539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Arial" w:hAnsi="Arial"/>
          <w:b w:val="false"/>
          <w:sz w:val="20"/>
        </w:rPr>
      </w:pPr>
      <w:r>
        <w:rPr>
          <w:rFonts w:ascii="Arial" w:hAnsi="Arial"/>
          <w:b w:val="false"/>
          <w:sz w:val="20"/>
        </w:rPr>
        <w:t>(1)</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Amounts in the table above reflect payments due for our lease of office and lab space in Boston, Massachusetts, that expires in August 2032. </w:t>
      </w:r>
    </w:p>
    <w:p>
      <w:pPr>
        <w:pStyle w:val="TextBody"/>
        <w:bidi w:val="0"/>
        <w:spacing w:before="0" w:after="0"/>
        <w:jc w:val="both"/>
        <w:rPr/>
      </w:pPr>
      <w:r>
        <w:rPr/>
        <w:t> </w:t>
      </w:r>
    </w:p>
    <w:p>
      <w:pPr>
        <w:pStyle w:val="TextBody"/>
        <w:bidi w:val="0"/>
        <w:spacing w:before="80" w:after="0"/>
        <w:jc w:val="both"/>
        <w:rPr>
          <w:rFonts w:ascii="Arial;sans-serif" w:hAnsi="Arial;sans-serif"/>
          <w:b w:val="false"/>
          <w:sz w:val="20"/>
        </w:rPr>
      </w:pPr>
      <w:r>
        <w:rPr>
          <w:rFonts w:ascii="Arial;sans-serif" w:hAnsi="Arial;sans-serif"/>
          <w:b w:val="false"/>
          <w:sz w:val="20"/>
        </w:rPr>
        <w:t>On May 16, 2022, the Company entered into an office and laboratory lease in Boston, Massachusetts with an initial 10-year term and one renewal option to extend the lease for an additional seven years. The lease commenced on August 1, 2022.</w:t>
      </w:r>
    </w:p>
    <w:p>
      <w:pPr>
        <w:pStyle w:val="TextBody"/>
        <w:bidi w:val="0"/>
        <w:spacing w:before="80" w:after="0"/>
        <w:jc w:val="both"/>
        <w:rPr>
          <w:rFonts w:ascii="Times New Roman" w:hAnsi="Times New Roman"/>
          <w:sz w:val="20"/>
        </w:rPr>
      </w:pPr>
      <w:r>
        <w:rPr>
          <w:rFonts w:ascii="Arial;sans-serif" w:hAnsi="Arial;sans-serif"/>
          <w:b w:val="false"/>
          <w:sz w:val="20"/>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sz w:val="20"/>
        </w:rPr>
        <w:t>Critical Accounting Policies and Significant Judgments and Estimates</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Our management’s discussion and analysis of financial condition and results of operations is based on our consolidated financial statements, which have been prepared in accordance with U.S. generally accepted accounting principles, or U.S.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2023, there were no material changes to our critical accounting policies from those described in the section titled “Management’s Discussion and Analysis of Financial Condition and Operations” included in our Annual Report on Form 10-K for the year ended December 31, 2022, as filed with the SEC.</w:t>
      </w:r>
    </w:p>
    <w:p>
      <w:pPr>
        <w:pStyle w:val="TextBody"/>
        <w:bidi w:val="0"/>
        <w:spacing w:before="240" w:after="0"/>
        <w:jc w:val="both"/>
        <w:rPr>
          <w:rFonts w:ascii="Times New Roman" w:hAnsi="Times New Roman"/>
          <w:sz w:val="20"/>
        </w:rPr>
      </w:pPr>
      <w:r>
        <w:rPr>
          <w:rFonts w:ascii="Arial;sans-serif" w:hAnsi="Arial;sans-serif"/>
          <w:b/>
          <w:sz w:val="20"/>
        </w:rPr>
        <w:t>Recent Accounting Pronouncements</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We assessed the recent accounting pronouncements for the three months ended March 31, 2023 and determined no pronouncements have material impact to the condensed consolidated financial statements.</w:t>
      </w:r>
    </w:p>
    <w:p>
      <w:pPr>
        <w:pStyle w:val="TextBody"/>
        <w:bidi w:val="0"/>
        <w:spacing w:before="240" w:after="0"/>
        <w:jc w:val="both"/>
        <w:rPr>
          <w:rFonts w:ascii="Times New Roman" w:hAnsi="Times New Roman"/>
          <w:sz w:val="20"/>
        </w:rPr>
      </w:pPr>
      <w:r>
        <w:rPr>
          <w:rFonts w:ascii="Arial;sans-serif" w:hAnsi="Arial;sans-serif"/>
          <w:b/>
          <w:sz w:val="20"/>
        </w:rPr>
        <w:t>Emerging Growth Company Status</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pStyle w:val="TextBody"/>
        <w:bidi w:val="0"/>
        <w:spacing w:before="240" w:after="0"/>
        <w:jc w:val="center"/>
        <w:rPr>
          <w:rFonts w:ascii="Arial;sans-serif" w:hAnsi="Arial;sans-serif"/>
          <w:b w:val="false"/>
          <w:sz w:val="20"/>
        </w:rPr>
      </w:pPr>
      <w:r>
        <w:rPr>
          <w:rFonts w:ascii="Arial;sans-serif" w:hAnsi="Arial;sans-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both"/>
        <w:rPr>
          <w:rFonts w:ascii="Arial;sans-serif" w:hAnsi="Arial;sans-serif"/>
          <w:b w:val="false"/>
          <w:sz w:val="20"/>
        </w:rPr>
      </w:pPr>
      <w:r>
        <w:rPr>
          <w:rFonts w:ascii="Arial;sans-serif" w:hAnsi="Arial;sans-serif"/>
          <w:b w:val="false"/>
          <w:sz w:val="20"/>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IPO.</w:t>
      </w:r>
    </w:p>
    <w:p>
      <w:pPr>
        <w:pStyle w:val="TextBody"/>
        <w:bidi w:val="0"/>
        <w:spacing w:before="80" w:after="0"/>
        <w:jc w:val="both"/>
        <w:rPr>
          <w:rFonts w:ascii="Times New Roman" w:hAnsi="Times New Roman"/>
          <w:sz w:val="20"/>
        </w:rPr>
      </w:pPr>
      <w:r>
        <w:rPr>
          <w:rFonts w:ascii="Arial;sans-serif" w:hAnsi="Arial;sans-serif"/>
          <w:b w:val="false"/>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If we are a smaller reporting company at the time we cease to be an Emerging Growth Company, or EGC, we may continue to rely on exemptions from certain disclosure requirements that are available to smaller reporting companies.</w:t>
      </w:r>
    </w:p>
    <w:p>
      <w:pPr>
        <w:pStyle w:val="TextBody"/>
        <w:bidi w:val="0"/>
        <w:spacing w:before="240" w:after="0"/>
        <w:jc w:val="both"/>
        <w:rPr>
          <w:rFonts w:ascii="Arial;sans-serif" w:hAnsi="Arial;sans-serif"/>
          <w:b/>
          <w:sz w:val="20"/>
        </w:rPr>
      </w:pPr>
      <w:bookmarkStart w:id="12" w:name="item_3_quantitative_and_qualitative"/>
      <w:bookmarkEnd w:id="12"/>
      <w:r>
        <w:rPr>
          <w:rFonts w:ascii="Arial;sans-serif" w:hAnsi="Arial;sans-serif"/>
          <w:b/>
          <w:sz w:val="20"/>
        </w:rPr>
        <w:t>Item 3. Quantitative and Qualitative Disclosures About Market Risk.</w:t>
      </w:r>
    </w:p>
    <w:p>
      <w:pPr>
        <w:pStyle w:val="TextBody"/>
        <w:bidi w:val="0"/>
        <w:spacing w:before="80" w:after="0"/>
        <w:jc w:val="both"/>
        <w:rPr>
          <w:rFonts w:ascii="Times New Roman" w:hAnsi="Times New Roman"/>
          <w:sz w:val="20"/>
        </w:rPr>
      </w:pPr>
      <w:r>
        <w:rPr>
          <w:rFonts w:ascii="Arial;sans-serif" w:hAnsi="Arial;sans-serif"/>
          <w:b w:val="false"/>
          <w:sz w:val="20"/>
        </w:rPr>
        <w:t>We are a smaller reporting company as defined by Rule 12b-2 of the Securities Exchange Act of 1934 and are not required to provide the information under this item.</w:t>
      </w:r>
      <w:r>
        <w:rPr>
          <w:rFonts w:ascii="Times New Roman" w:hAnsi="Times New Roman"/>
          <w:sz w:val="20"/>
        </w:rPr>
        <w:t xml:space="preserve"> </w:t>
      </w:r>
    </w:p>
    <w:p>
      <w:pPr>
        <w:pStyle w:val="TextBody"/>
        <w:bidi w:val="0"/>
        <w:spacing w:before="240" w:after="0"/>
        <w:jc w:val="both"/>
        <w:rPr>
          <w:rFonts w:ascii="Arial;sans-serif" w:hAnsi="Arial;sans-serif"/>
          <w:b/>
          <w:sz w:val="20"/>
        </w:rPr>
      </w:pPr>
      <w:bookmarkStart w:id="13" w:name="item_4_controls_and_procedures"/>
      <w:bookmarkEnd w:id="13"/>
      <w:r>
        <w:rPr>
          <w:rFonts w:ascii="Arial;sans-serif" w:hAnsi="Arial;sans-serif"/>
          <w:b/>
          <w:sz w:val="20"/>
        </w:rPr>
        <w:t>Item 4. Controls and Procedures.</w:t>
      </w:r>
    </w:p>
    <w:p>
      <w:pPr>
        <w:pStyle w:val="TextBody"/>
        <w:bidi w:val="0"/>
        <w:spacing w:before="80" w:after="0"/>
        <w:jc w:val="both"/>
        <w:rPr>
          <w:rFonts w:ascii="Arial;sans-serif" w:hAnsi="Arial;sans-serif"/>
          <w:b w:val="false"/>
          <w:i/>
          <w:sz w:val="20"/>
        </w:rPr>
      </w:pPr>
      <w:r>
        <w:rPr>
          <w:rFonts w:ascii="Arial;sans-serif" w:hAnsi="Arial;sans-serif"/>
          <w:b w:val="false"/>
          <w:i/>
          <w:sz w:val="20"/>
        </w:rPr>
        <w:t>Disclosure Controls and Procedures</w:t>
      </w:r>
    </w:p>
    <w:p>
      <w:pPr>
        <w:pStyle w:val="TextBody"/>
        <w:bidi w:val="0"/>
        <w:spacing w:before="80" w:after="0"/>
        <w:jc w:val="both"/>
        <w:rPr>
          <w:rFonts w:ascii="Arial;sans-serif" w:hAnsi="Arial;sans-serif"/>
          <w:b w:val="false"/>
          <w:sz w:val="20"/>
        </w:rPr>
      </w:pPr>
      <w:r>
        <w:rPr>
          <w:rFonts w:ascii="Arial;sans-serif" w:hAnsi="Arial;sans-serif"/>
          <w:b w:val="false"/>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0"/>
        <w:jc w:val="both"/>
        <w:rPr>
          <w:rFonts w:ascii="Arial;sans-serif" w:hAnsi="Arial;sans-serif"/>
          <w:b w:val="false"/>
          <w:sz w:val="20"/>
        </w:rPr>
      </w:pPr>
      <w:r>
        <w:rPr>
          <w:rFonts w:ascii="Arial;sans-serif" w:hAnsi="Arial;sans-serif"/>
          <w:b w:val="false"/>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March 31, 2023,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pStyle w:val="TextBody"/>
        <w:bidi w:val="0"/>
        <w:spacing w:before="0" w:after="0"/>
        <w:jc w:val="both"/>
        <w:rPr/>
      </w:pPr>
      <w:r>
        <w:rPr/>
        <w:t> </w:t>
      </w:r>
    </w:p>
    <w:p>
      <w:pPr>
        <w:pStyle w:val="TextBody"/>
        <w:bidi w:val="0"/>
        <w:spacing w:before="40" w:after="0"/>
        <w:jc w:val="both"/>
        <w:rPr>
          <w:rFonts w:ascii="Arial;sans-serif" w:hAnsi="Arial;sans-serif"/>
          <w:b w:val="false"/>
          <w:i/>
          <w:sz w:val="20"/>
        </w:rPr>
      </w:pPr>
      <w:r>
        <w:rPr>
          <w:rFonts w:ascii="Arial;sans-serif" w:hAnsi="Arial;sans-serif"/>
          <w:b w:val="false"/>
          <w:i/>
          <w:sz w:val="20"/>
        </w:rPr>
        <w:t>Changes in Internal Control over Financial Reporting</w:t>
      </w:r>
    </w:p>
    <w:p>
      <w:pPr>
        <w:pStyle w:val="TextBody"/>
        <w:bidi w:val="0"/>
        <w:spacing w:before="80" w:after="0"/>
        <w:jc w:val="both"/>
        <w:rPr>
          <w:rFonts w:ascii="Arial;sans-serif" w:hAnsi="Arial;sans-serif"/>
          <w:b w:val="false"/>
          <w:sz w:val="20"/>
        </w:rPr>
      </w:pPr>
      <w:r>
        <w:rPr>
          <w:rFonts w:ascii="Arial;sans-serif" w:hAnsi="Arial;sans-serif"/>
          <w:b w:val="false"/>
          <w:sz w:val="20"/>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before="240" w:after="0"/>
        <w:jc w:val="center"/>
        <w:rPr>
          <w:rFonts w:ascii="Arial;sans-serif" w:hAnsi="Arial;sans-serif"/>
          <w:b w:val="false"/>
          <w:sz w:val="20"/>
        </w:rPr>
      </w:pPr>
      <w:r>
        <w:rPr>
          <w:rFonts w:ascii="Arial;sans-serif" w:hAnsi="Arial;sans-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14" w:name="part_ii_other_information"/>
      <w:bookmarkEnd w:id="14"/>
      <w:r>
        <w:rPr>
          <w:rFonts w:ascii="Arial;sans-serif" w:hAnsi="Arial;sans-serif"/>
          <w:b/>
          <w:sz w:val="20"/>
        </w:rPr>
        <w:t>PART II—OTHER INFORMATION</w:t>
      </w:r>
    </w:p>
    <w:p>
      <w:pPr>
        <w:pStyle w:val="TextBody"/>
        <w:bidi w:val="0"/>
        <w:spacing w:before="240" w:after="0"/>
        <w:jc w:val="both"/>
        <w:rPr>
          <w:rFonts w:ascii="Arial;sans-serif" w:hAnsi="Arial;sans-serif"/>
          <w:b/>
          <w:sz w:val="20"/>
        </w:rPr>
      </w:pPr>
      <w:bookmarkStart w:id="15" w:name="item_1_legal_proceedings"/>
      <w:bookmarkEnd w:id="15"/>
      <w:r>
        <w:rPr>
          <w:rFonts w:ascii="Arial;sans-serif" w:hAnsi="Arial;sans-serif"/>
          <w:b/>
          <w:sz w:val="20"/>
        </w:rPr>
        <w:t>Item 1. Legal Proceedings.</w:t>
      </w:r>
    </w:p>
    <w:p>
      <w:pPr>
        <w:pStyle w:val="TextBody"/>
        <w:bidi w:val="0"/>
        <w:spacing w:before="80" w:after="0"/>
        <w:jc w:val="both"/>
        <w:rPr>
          <w:rFonts w:ascii="Arial;sans-serif" w:hAnsi="Arial;sans-serif"/>
          <w:b w:val="false"/>
          <w:sz w:val="20"/>
        </w:rPr>
      </w:pPr>
      <w:r>
        <w:rPr>
          <w:rFonts w:ascii="Arial;sans-serif" w:hAnsi="Arial;sans-serif"/>
          <w:b w:val="false"/>
          <w:sz w:val="20"/>
        </w:rPr>
        <w:t>From time to time, we may become subject to various legal proceedings and claims that arise in the ordinary course of our business activities. Although the results of litigation and claims cannot be predicted with certainty, as of March 31, 2023,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0"/>
        <w:jc w:val="left"/>
        <w:rPr>
          <w:rFonts w:ascii="Arial;sans-serif" w:hAnsi="Arial;sans-serif"/>
          <w:b/>
          <w:sz w:val="20"/>
        </w:rPr>
      </w:pPr>
      <w:bookmarkStart w:id="16" w:name="item_1a_risk_factors"/>
      <w:bookmarkEnd w:id="16"/>
      <w:r>
        <w:rPr>
          <w:rFonts w:ascii="Arial;sans-serif" w:hAnsi="Arial;sans-serif"/>
          <w:b/>
          <w:sz w:val="20"/>
        </w:rPr>
        <w:t>Item 1A. Risk Factors.</w:t>
      </w:r>
    </w:p>
    <w:p>
      <w:pPr>
        <w:pStyle w:val="TextBody"/>
        <w:bidi w:val="0"/>
        <w:spacing w:before="80" w:after="0"/>
        <w:jc w:val="both"/>
        <w:rPr>
          <w:rFonts w:ascii="Times New Roman" w:hAnsi="Times New Roman"/>
          <w:sz w:val="20"/>
        </w:rPr>
      </w:pPr>
      <w:r>
        <w:rPr>
          <w:rFonts w:ascii="Arial;sans-serif" w:hAnsi="Arial;sans-serif"/>
          <w:b w:val="false"/>
          <w:i/>
          <w:sz w:val="20"/>
        </w:rPr>
        <w:t>Investing in our common stock involves a high degree of risk. You should carefully read and consider all of the risks described below, as well as the other information in this Quarterly Report on Form 10-Q, including our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sz w:val="20"/>
        </w:rPr>
        <w:t>Risks Related to Our Financial Position, and Additional Capital Needs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i/>
          <w:sz w:val="20"/>
        </w:rPr>
        <w:t>We have incurred significant net losses since our inception and anticipate that we will continue to incur losses for the foreseeable future.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$17.5 million and $12.8 million for the three months ended March 31, 2023 and 2022, respectively. As of March 31, 2023, we had an accumulated deficit of $228.4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We have no products approved for commercial sale and, therefore, have never generated any revenue from product sales, and we do not expect to in the foreseeable future. Even if we do become profitable, we may not be able to sustain or increase our profitability on a quarterly or annual basis.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ability to become profitable depends upon our ability to generate revenue. To date, we have not generated any revenue from any product sales. We have no products approved for commercial sale,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initiating and completing research regarding, and preclinical and clinical development of, bel-sar in primary choroidal melanoma and, additional oncology indications, including NMIBC, other research programs from our VDC technology platform and any future product candidates;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obtaining marketing approval for bel-sar and any future product candidates for which we complete clinical trials;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transferring our manufacturing process to a commercial contract development and manufacturing organization for bel-sar and any future product candidates, including establishing and maintaining commercially viable supply and manufacturing relationships with third parties;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launching and commercializing bel-sar and any future product candidates for which we obtain marketing approvals, either directly or with a collaborator or distributor;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obtaining market acceptance of bel-sar and any future product candidates as viable treatment options;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addressing any competing technological and market developments;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identifying, assessing, acquiring and developing new product candidates from our VDC technology platform; </w:t>
      </w:r>
    </w:p>
    <w:p>
      <w:pPr>
        <w:pStyle w:val="TextBody"/>
        <w:bidi w:val="0"/>
        <w:spacing w:before="240" w:after="0"/>
        <w:jc w:val="center"/>
        <w:rPr>
          <w:rFonts w:ascii="Arial;sans-serif" w:hAnsi="Arial;sans-serif"/>
          <w:b w:val="false"/>
          <w:sz w:val="20"/>
        </w:rPr>
      </w:pPr>
      <w:r>
        <w:rPr>
          <w:rFonts w:ascii="Arial;sans-serif" w:hAnsi="Arial;sans-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negotiating favorable terms in any collaboration, licensing, or other arrangements into which we may enter;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obtaining, maintaining, protecting, and expanding our portfolio of intellectual property rights, including patents, trade secrets, and know-how;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attracting, hiring, and retaining qualified personnel. </w:t>
      </w:r>
    </w:p>
    <w:p>
      <w:pPr>
        <w:pStyle w:val="TextBody"/>
        <w:bidi w:val="0"/>
        <w:spacing w:before="240" w:after="0"/>
        <w:jc w:val="both"/>
        <w:rPr>
          <w:rFonts w:ascii="Times New Roman" w:hAnsi="Times New Roman"/>
          <w:sz w:val="20"/>
        </w:rPr>
      </w:pPr>
      <w:r>
        <w:rPr>
          <w:rFonts w:ascii="Arial;sans-serif" w:hAnsi="Arial;sans-serif"/>
          <w:b w:val="false"/>
          <w:sz w:val="20"/>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Based on our current operating plan, we believe that our existing cash and cash equivalents, will be sufficient to fund our operating expenses and capital expenditures into 2025.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of and commercialize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the COVID-19 pandemic or more recently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pStyle w:val="TextBody"/>
        <w:bidi w:val="0"/>
        <w:spacing w:before="240" w:after="0"/>
        <w:jc w:val="both"/>
        <w:rPr>
          <w:rFonts w:ascii="Arial;sans-serif" w:hAnsi="Arial;sans-serif"/>
          <w:b/>
          <w:i/>
          <w:sz w:val="20"/>
        </w:rPr>
      </w:pPr>
      <w:r>
        <w:rPr>
          <w:rFonts w:ascii="Arial;sans-serif" w:hAnsi="Arial;sans-serif"/>
          <w:b/>
          <w:i/>
          <w:sz w:val="20"/>
        </w:rPr>
        <w:t>Recent volatility in capital markets may affect our ability to access new capital through sales of shares of our common stock or issuance of indebtedness.</w:t>
      </w:r>
    </w:p>
    <w:p>
      <w:pPr>
        <w:pStyle w:val="TextBody"/>
        <w:bidi w:val="0"/>
        <w:spacing w:before="80" w:after="0"/>
        <w:jc w:val="both"/>
        <w:rPr>
          <w:rFonts w:ascii="Times New Roman" w:hAnsi="Times New Roman"/>
          <w:sz w:val="20"/>
        </w:rPr>
      </w:pPr>
      <w:r>
        <w:rPr>
          <w:rFonts w:ascii="Arial;sans-serif" w:hAnsi="Arial;sans-serif"/>
          <w:b w:val="false"/>
          <w:sz w:val="20"/>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finance unanticipated working capital requirements;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develop or enhance our technological infrastructure and our existing solutions;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pursue acquisitions or other strategic relationships; and</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respond to competitive pressures.</w:t>
      </w:r>
    </w:p>
    <w:p>
      <w:pPr>
        <w:pStyle w:val="TextBody"/>
        <w:bidi w:val="0"/>
        <w:spacing w:before="240" w:after="0"/>
        <w:jc w:val="both"/>
        <w:rPr>
          <w:rFonts w:ascii="Arial;sans-serif" w:hAnsi="Arial;sans-serif"/>
          <w:b w:val="false"/>
          <w:sz w:val="20"/>
        </w:rPr>
      </w:pPr>
      <w:r>
        <w:rPr>
          <w:rFonts w:ascii="Arial;sans-serif" w:hAnsi="Arial;sans-serif"/>
          <w:b w:val="false"/>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pStyle w:val="TextBody"/>
        <w:bidi w:val="0"/>
        <w:spacing w:before="240" w:after="0"/>
        <w:jc w:val="both"/>
        <w:rPr>
          <w:rFonts w:ascii="Times New Roman" w:hAnsi="Times New Roman"/>
          <w:sz w:val="20"/>
        </w:rPr>
      </w:pPr>
      <w:r>
        <w:rPr>
          <w:rFonts w:ascii="Arial;sans-serif" w:hAnsi="Arial;sans-serif"/>
          <w:b/>
          <w:i/>
          <w:sz w:val="20"/>
        </w:rPr>
        <w:t>Raising additional capital may cause dilution to our existing stockholders, restrict our operations or require us to relinquish proprietary rights to our technologies or product candidates.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Our ability to generate revenue and achieve profitability depends significantly on our ability to achieve our objectives relating to the discovery, development and commercialization of our product candidates.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successful and timely completion of preclinical and clinical development of bel-sar in indeterminate lesions and primary choroidal melanoma and additional oncology indications, other research programs from our VDC technology platform, and any other future programs;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establishing and maintaining relationships with CROs and clinical sites for the clinical development of bel-sar, other research programs from our VDC technology platform, and any other future programs;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timely receipt of marketing approvals from applicable regulatory authorities for any product candidates for which we successfully complete clinical development;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transferring our manufacturing process to a commercial contract development and manufacturing organization, or CDMO, including obtaining finished products that are appropriately packaged for sale;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successful commercial launch following any marketing approval, including the development of a commercial infrastructure, whether in-house or with one or more collaborators;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 continued acceptable safety profile following any marketing approval of our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commercial acceptance of our product candidates by patients, the medical community and third-party payors;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satisfying any required post-marketing approval commitments to applicable regulatory authorities;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identifying, assessing and developing new product candidates from our VDC technology platform;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obtaining, maintaining and expanding patent protection, trade secret protection and regulatory exclusivity, both in the United States and internationally;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defending against third-party interference or infringement claims, if any;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obtaining coverage and adequate reimbursement by third-party payors for our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addressing any competing therapies and technological and market developments;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attracting, hiring and retaining qualified personnel. </w:t>
      </w:r>
    </w:p>
    <w:p>
      <w:pPr>
        <w:pStyle w:val="TextBody"/>
        <w:bidi w:val="0"/>
        <w:spacing w:before="240" w:after="0"/>
        <w:jc w:val="both"/>
        <w:rPr>
          <w:rFonts w:ascii="Times New Roman" w:hAnsi="Times New Roman"/>
          <w:sz w:val="20"/>
        </w:rPr>
      </w:pPr>
      <w:r>
        <w:rPr>
          <w:rFonts w:ascii="Arial;sans-serif" w:hAnsi="Arial;sans-serif"/>
          <w:b w:val="false"/>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sz w:val="20"/>
        </w:rPr>
        <w:t>Risks Related to the Discovery and Development of our Product Candidates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i/>
          <w:sz w:val="20"/>
        </w:rPr>
        <w:t>We are heavily dependent on the success of bel-sar, our only product candidate to date.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Investigational New Drug application, or IND, Premarket Approval, or PMA,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the FDA or comparable foreign regulatory authorities may disagree with the design or implementation of our clinical trials; </w:t>
      </w:r>
    </w:p>
    <w:p>
      <w:pPr>
        <w:pStyle w:val="TextBody"/>
        <w:bidi w:val="0"/>
        <w:spacing w:before="240" w:after="0"/>
        <w:jc w:val="center"/>
        <w:rPr>
          <w:rFonts w:ascii="Arial;sans-serif" w:hAnsi="Arial;sans-serif"/>
          <w:b w:val="false"/>
          <w:sz w:val="20"/>
        </w:rPr>
      </w:pPr>
      <w:r>
        <w:rPr>
          <w:rFonts w:ascii="Arial;sans-serif" w:hAnsi="Arial;sans-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results of clinical trials may not meet the level of statistical significance required by the FDA or comparable foreign regulatory authorities for approval;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we may be unable to demonstrate that a product candidate’s clinical and other benefits outweigh its safety risks;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FDA or comparable foreign regulatory authorities may disagree with our interpretation of data from preclinical studies or clinical trials;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data collected from clinical trials of our product candidates may not be sufficient to support the submission of an BLA or other submission or to obtain regulatory approval in the United States or elsewhere;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FDA or comparable foreign regulatory authorities may fail to approve our manufacturing processes or facilities or those of third-party manufacturers with which we contract for clinical and commercial supplies;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240" w:after="0"/>
        <w:jc w:val="both"/>
        <w:rPr>
          <w:rFonts w:ascii="Times New Roman" w:hAnsi="Times New Roman"/>
          <w:sz w:val="20"/>
        </w:rPr>
      </w:pPr>
      <w:r>
        <w:rPr>
          <w:rFonts w:ascii="Arial;sans-serif" w:hAnsi="Arial;sans-serif"/>
          <w:b w:val="false"/>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including due to the COVID-19 pandemic, and the impact that may have on the overall timing of regulatory approvals is uncertain.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have not yet successfully initiated or completed any pivotal clinical trials nor commercialized any pharmaceutical products, which may make it difficult to evaluate our future prospects.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indeterminate lesions and primary choroidal melanoma. We have not yet demonstrated an ability to successfully design, initiate or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will need to expand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our first pivotal trial based on an adaptive design, which could increase the time spent on or costs associated with this trial. We are in the process of transferring our intended commercial manufacturing process to our intended external CDMO commercial manufacturing site. During this transfer process, some modifications may be needed to ensure manufacturability and ability to scale-up the process to commercial batch sizes. We intend to perform an analytical comparability assessment between the current clinical process and the intended commercial process, however, if this analytical process comparability assessment is unsuccessful, clinical comparability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If we fail to develop additional product candidates, our commercial opportunity could be limited.</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Bel-sar is a biologic that requires the use of multiple medical devices, which may result in additional regulatory risks.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Bel-sar is a novel biologic for which the intended use in ocular oncology requires delivery to the suprachoroidal space and activation by a laser. For ocular oncology indications, we use Clearside Biomedical’s SCS Microinjector®, or the SCS Microinjector, to deliver bel-sar into the suprachoroidal space. In the United States, we plan to submit a single BLA for the review and approval of this combination of bel-sar with the SCS Microinjector and the laser(s) in our initial target indication of indeterminate lesions and small choroidal melanoma, but subsequent indications and delivery systems may require different or additional applications for marketing authorization. The SCS Microinjector was approved by FDA in October 2021 as a constituent of the drug/device combination product XIPERETM.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Changes in methods of product candidate manufacturing or formulation may result in additional costs or delay.</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If we experience delays or difficulties in the enrollment of patients in clinical trials, our receipt of necessary regulatory approvals could be delayed or prevented.</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Furthermore, our ability to enroll patients may be significantly delayed by the effects of the COVID-19 pandemic, and we cannot accurately predict the extent and scope of such delays at this point.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primary choroidal melanoma is a rare disease and as such clinical trial recruitment estimates may be inaccurate and such recruitment may take longer than expected.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Patient enrollment may be affected by other factors,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severity of the disease under investigation;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clinicians’ and patients’ awareness of, and perceptions as to the potential advantages and risks of bel-sar in relation to other available therapies, including any new drugs that may be approved for the indications we are investigating;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efforts to obtain and maintain patient consents and facilitate timely enrollment in clinical trials;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ability to monitor patients adequately during and after treatment;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risk that patients enrolled in clinical trials will drop out of the clinical trials before clinical trial completion;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competing studies or trials with similar eligibility criteria;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ability to recruit clinical trial investigators with the appropriate competencies and experience;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reporting of the preliminary results of any of our clinical trials;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factors we may not be able to control, including the impacts of the COVID-19 pandemic, that may limit patients, principal investigators or staff or clinical site availability. </w:t>
      </w:r>
    </w:p>
    <w:p>
      <w:pPr>
        <w:pStyle w:val="TextBody"/>
        <w:bidi w:val="0"/>
        <w:spacing w:before="240" w:after="0"/>
        <w:jc w:val="center"/>
        <w:rPr>
          <w:rFonts w:ascii="Arial;sans-serif" w:hAnsi="Arial;sans-serif"/>
          <w:b w:val="false"/>
          <w:sz w:val="20"/>
        </w:rPr>
      </w:pPr>
      <w:r>
        <w:rPr>
          <w:rFonts w:ascii="Arial;sans-serif" w:hAnsi="Arial;sans-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may in the future conduct clinical trials for current or future product candidates outside the United States, and the FDA and comparable foreign regulatory authorities may not accept data from such trials.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may in the future choose to conduct one or more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Even if we receive marketing approval for our current or future product candidates in the United States, we may never receive regulatory approval to market our current or future product candidates outside of the United States.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The results of preclinical studies and early clinical trials may not be predictive of future results.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any other product candidates then under development and/or cause the FDA or other regulatory authorities to require additional testing before approving any other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when studied in a controlled environment with a placebo or active control.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regulatory authorities may withdraw approvals of such product or require additional warnings on the label;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additional clinical trials or post-approval studies;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we may be subject to regulatory investigations and government enforcement actions;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our reputation may suffer. </w:t>
      </w:r>
    </w:p>
    <w:p>
      <w:pPr>
        <w:pStyle w:val="TextBody"/>
        <w:bidi w:val="0"/>
        <w:spacing w:before="240" w:after="0"/>
        <w:jc w:val="both"/>
        <w:rPr>
          <w:rFonts w:ascii="Times New Roman" w:hAnsi="Times New Roman"/>
          <w:sz w:val="20"/>
        </w:rPr>
      </w:pPr>
      <w:r>
        <w:rPr>
          <w:rFonts w:ascii="Arial;sans-serif" w:hAnsi="Arial;sans-serif"/>
          <w:b w:val="false"/>
          <w:sz w:val="20"/>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Any of these events could prevent us from achieving or maintaining market acceptance of the particular product candidate, if approved, and could materially affect our business, financial condition, results of operations, and growth prospects.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may incur additional costs or experience delays in initiating or completing, or ultimately be unable to complete, the development and commercialization of our product candidates.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we may receive feedback from regulatory authorities that require us to modify the design or implementation of our preclinical studies or clinical trials or to delay or terminate a clinical trial;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regulators or institutional review boards, or IRBs, or ethics committees may delay or may not authorize us or our investigators to commence a clinical trial or conduct a clinical trial at a prospective trial site; </w:t>
      </w:r>
    </w:p>
    <w:p>
      <w:pPr>
        <w:pStyle w:val="TextBody"/>
        <w:bidi w:val="0"/>
        <w:spacing w:before="240" w:after="0"/>
        <w:jc w:val="center"/>
        <w:rPr>
          <w:rFonts w:ascii="Arial;sans-serif" w:hAnsi="Arial;sans-serif"/>
          <w:b w:val="false"/>
          <w:sz w:val="20"/>
        </w:rPr>
      </w:pPr>
      <w:r>
        <w:rPr>
          <w:rFonts w:ascii="Arial;sans-serif" w:hAnsi="Arial;sans-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we may experience delays in reaching, or fail to reach, agreement on acceptable terms with prospective trial sites and prospective CROs, the terms of which can be subject to extensive negotiation and may vary significantly among different CROs and trial sites;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preclinical studies or clinical trials of our product candidates may not produce differentiated or clinically significant results across tumor types or indications;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cost of clinical trials of our product candidates may be greater than we anticipate;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clinical trials of our product candidates may be delayed due to complications associated with the continuing effects of the COVID-19 pandemic;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supply or quality of our product candidates or other materials necessary to conduct clinical trials of our product candidates may be insufficient or inadequate;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regulators may revise the requirements for approving our product candidates, or such requirements may not be as we anticipate. </w:t>
      </w:r>
    </w:p>
    <w:p>
      <w:pPr>
        <w:pStyle w:val="TextBody"/>
        <w:bidi w:val="0"/>
        <w:spacing w:before="240" w:after="0"/>
        <w:jc w:val="both"/>
        <w:rPr>
          <w:rFonts w:ascii="Times New Roman" w:hAnsi="Times New Roman"/>
          <w:sz w:val="20"/>
        </w:rPr>
      </w:pPr>
      <w:r>
        <w:rPr>
          <w:rFonts w:ascii="Arial;sans-serif" w:hAnsi="Arial;sans-serif"/>
          <w:b w:val="false"/>
          <w:sz w:val="20"/>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restrictions on the marketing or manufacturing of the product, withdrawal of the product from the market, or voluntary or mandatory product recalls;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manufacturing delays and supply disruptions where regulatory inspections identify observations of noncompliance requiring remediation;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revisions to the labeling, including limitation on approved uses or the addition of additional warnings, contraindications or other safety information, including boxed warnings;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imposition of a REMS which may include distribution or use restrictions;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requirements to conduct additional post-market clinical trials to assess the safety of the product;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clinical trial holds;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fines, warning letters or other regulatory enforcement action;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refusal by the FDA to approve pending applications or supplements to approved applications filed by us or suspension or revocation of approvals;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product seizure or detention, or refusal to permit the import or export of products;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injunctions or the imposition of civil or criminal penalties. </w:t>
      </w:r>
    </w:p>
    <w:p>
      <w:pPr>
        <w:pStyle w:val="TextBody"/>
        <w:bidi w:val="0"/>
        <w:spacing w:before="240" w:after="0"/>
        <w:jc w:val="center"/>
        <w:rPr>
          <w:rFonts w:ascii="Arial;sans-serif" w:hAnsi="Arial;sans-serif"/>
          <w:b w:val="false"/>
          <w:sz w:val="20"/>
        </w:rPr>
      </w:pPr>
      <w:r>
        <w:rPr>
          <w:rFonts w:ascii="Arial;sans-serif" w:hAnsi="Arial;sans-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pStyle w:val="TextBody"/>
        <w:bidi w:val="0"/>
        <w:spacing w:before="240" w:after="0"/>
        <w:jc w:val="both"/>
        <w:rPr>
          <w:rFonts w:ascii="Times New Roman" w:hAnsi="Times New Roman"/>
          <w:sz w:val="20"/>
        </w:rPr>
      </w:pPr>
      <w:r>
        <w:rPr>
          <w:rFonts w:ascii="Arial;sans-serif" w:hAnsi="Arial;sans-serif"/>
          <w:b/>
          <w:i/>
          <w:sz w:val="20"/>
        </w:rPr>
        <w:t>We may be unable to obtain orphan drug designations or to maintain the benefits associated with orphan drug status, including market exclusivity, which may cause our revenue, if any, to be reduced.</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have obtained orphan designation for bel-sar for the treatment of uveal melanoma from the FDA and EMA, and we may seek additional orphan drug designations for some or all of our current or future product candidates in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40" w:after="0"/>
        <w:jc w:val="center"/>
        <w:rPr>
          <w:rFonts w:ascii="Arial;sans-serif" w:hAnsi="Arial;sans-serif"/>
          <w:b w:val="false"/>
          <w:sz w:val="20"/>
        </w:rPr>
      </w:pPr>
      <w:r>
        <w:rPr>
          <w:rFonts w:ascii="Arial;sans-serif" w:hAnsi="Arial;sans-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Similarly, in the EU, the European Commission grants an orphan designation in respect of a product after receiving the opinion of the EMA’s Committee for Orphan Medicinal Products on a designation application. Orphan designation in the EU is granted to products where (1) such product is intended for the diagnosis, prevention or treatment of a life-threatening or chronically debilitating condition; (2) either (i) such condition affects no more than 5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 application for the same product and indication for that time period, except in limited circumstances. The EU exclusivity period can be reduced to six years if a drug no longer meets the criteria for orphan designation or if the product is sufficiently profitable such that market exclusivity is no longer justified.</w:t>
      </w:r>
    </w:p>
    <w:p>
      <w:pPr>
        <w:pStyle w:val="TextBody"/>
        <w:bidi w:val="0"/>
        <w:spacing w:before="240" w:after="0"/>
        <w:jc w:val="both"/>
        <w:rPr>
          <w:rFonts w:ascii="Times New Roman" w:hAnsi="Times New Roman"/>
          <w:sz w:val="20"/>
        </w:rPr>
      </w:pPr>
      <w:r>
        <w:rPr>
          <w:rFonts w:ascii="Arial;sans-serif" w:hAnsi="Arial;sans-serif"/>
          <w:b/>
          <w:i/>
          <w:sz w:val="20"/>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have obtained fast track designation for bel-sar for the treatment of choroidal melanoma, for the treatment of choroidal metastasis and for the treatment of non-muscle invasive bladder cancer,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sz w:val="20"/>
        </w:rPr>
        <w:t>Risks Related to Our Reliance on Third Parties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i/>
          <w:sz w:val="20"/>
        </w:rPr>
        <w:t>We expect to rely on third parties to conduct some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plan to use a clinical CRO for the pivotal trial for bel-sar for the treatment of choroidal melanoma. Any of these third parties may terminate their engagements with us or be unable to fulfill their contractual obligations. If we need to enter into alternative arrangements, our product development activities would be delayed.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Even if we are able to establish agreements with third-party manufacturers, reliance on third-party manufacturers entails additional risks,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failure of third-party manufacturers to comply with regulatory requirements and maintain quality assurance;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breach of the manufacturing agreement by the third-party manufacturers;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failure to manufacture our product according to our specifications;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lack of qualified backup suppliers for those components or materials that are currently purchased from a sole or single source supplier;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failure to manufacture our product according to our schedule or at all;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production difficulties caused by unforeseen events that may delay the availability of one or more of the necessary raw materials or delay the manufacture of bel-sar or any future product candidates for use in clinical trials or for commercial supply, including as a result of the COVID-19 pandemic;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supply or service disruptions or increased costs that are beyond our control;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misappropriation of our proprietary information, including our trade secrets and know-how;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termination or nonrenewal of the agreement by the third party at a time that is costly or inconvenient for us. </w:t>
      </w:r>
    </w:p>
    <w:p>
      <w:pPr>
        <w:pStyle w:val="TextBody"/>
        <w:bidi w:val="0"/>
        <w:spacing w:before="240" w:after="0"/>
        <w:jc w:val="both"/>
        <w:rPr>
          <w:rFonts w:ascii="Times New Roman" w:hAnsi="Times New Roman"/>
          <w:sz w:val="20"/>
        </w:rPr>
      </w:pPr>
      <w:r>
        <w:rPr>
          <w:rFonts w:ascii="Arial;sans-serif" w:hAnsi="Arial;sans-serif"/>
          <w:b w:val="false"/>
          <w:sz w:val="20"/>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sz w:val="20"/>
        </w:rPr>
        <w:t>Risks Related to Commercialization</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i/>
          <w:sz w:val="20"/>
        </w:rPr>
        <w:t>If bel-sar or any future product candidates do not achieve broad market acceptance, the revenue that we generate from their sales may be limited, and we may never become profitable.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efficacy of bel-sar and our VLP technology, and any future product candidates;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the prevalence and severity of adverse events associated with bel-sar and any future product candidates or those products with which they may be co-administered; </w:t>
      </w:r>
    </w:p>
    <w:p>
      <w:pPr>
        <w:pStyle w:val="TextBody"/>
        <w:bidi w:val="0"/>
        <w:spacing w:before="240" w:after="0"/>
        <w:jc w:val="center"/>
        <w:rPr>
          <w:rFonts w:ascii="Arial;sans-serif" w:hAnsi="Arial;sans-serif"/>
          <w:b w:val="false"/>
          <w:sz w:val="20"/>
        </w:rPr>
      </w:pPr>
      <w:r>
        <w:rPr>
          <w:rFonts w:ascii="Arial;sans-serif" w:hAnsi="Arial;sans-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the clinical indications for which bel-sar are approved and the approved claims that we may make for the products;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limitations or warnings contained in the product’s FDA-approved labeling or those of comparable foreign regulatory authorities, including potential limitations or warnings for bel-sar and any future product candidates that may be more restrictive than other competitive products;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changes in the standard of care for the targeted indications for bel-sar and any future product candidates, which could reduce the marketing impact of any claims that we could make following FDA approval or approval by comparable foreign regulatory authorities, if obtained;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relative convenience and ease of administration of bel-sar and any future product candidates and any products with which they are co-administered;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cost of treatment compared with the economic and clinical benefit of alternative treatments or therapies;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availability of adequate coverage or reimbursement by third-party payors, including government healthcare programs such as Medicare and Medicaid and other healthcare payors;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price concessions required by third-party payors to obtain coverage;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perception of physicians, patients, third-party payors and others in the medical community of the relative safety, efficacy, convenience, effect on quality of life and cost effectiveness of bel-sar compared to those of other available treatments;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willingness of patients to pay out-of-pocket in the absence of adequate coverage and reimbursement;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extent and strength of our marketing and distribution of bel-sar and any future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safety, efficacy, and other potential advantages over, and availability of, alternative treatments already used or that may later be approved;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distribution and use restrictions imposed by the FDA or comparable foreign regulatory authorities with respect to bel-sar and any future product candidates or to which we agree as part of a REMS or voluntary risk management plan;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timing of market introduction of bel-sar and any future product candidates, as well as competitive products;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ability to offer bel-sar and any future product candidates for sale at competitive prices;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willingness of the target patient population to try new therapies and of physicians to prescribe these therapies;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extent and strength of our third-party manufacturer and supplier support;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publicity concerning our bel-sar or competing products and treatments;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actions of companies that market any products with which bel-sar and any future product candidates may be co-administered;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approval of other new products;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adverse publicity about bel-sar and any future product candidates or any products with which they are co-administered, or favorable publicity about competitive products;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potential product liability claims. </w:t>
      </w:r>
    </w:p>
    <w:p>
      <w:pPr>
        <w:pStyle w:val="TextBody"/>
        <w:bidi w:val="0"/>
        <w:spacing w:before="240" w:after="0"/>
        <w:jc w:val="both"/>
        <w:rPr>
          <w:rFonts w:ascii="Times New Roman" w:hAnsi="Times New Roman"/>
          <w:sz w:val="20"/>
        </w:rPr>
      </w:pPr>
      <w:r>
        <w:rPr>
          <w:rFonts w:ascii="Arial;sans-serif" w:hAnsi="Arial;sans-serif"/>
          <w:b/>
          <w:i/>
          <w:sz w:val="20"/>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There can be no assurance that we will be able to develop in-house sales and distribution capabilities or establish or maintain relationships with third-party collaborators to commercialize any product in the United States or overseas.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may face competition, which may result in others discovering, developing or commercializing drugs before or more successfully than we do.</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The biopharmaceutical industry is characterized by intense competition and rapid innovation. While we are not aware of anyone currently developing a treatment for choroidal melanoma, in the future our competitors may be able to develop other compounds or drugs that are able to achieve similar or better results than us. There are multiple companies that have drugs in clinical development for the treatment of NMIBC that are unresponsive to Bacillus Calmette-Guerin,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pStyle w:val="TextBody"/>
        <w:bidi w:val="0"/>
        <w:spacing w:before="240" w:after="0"/>
        <w:jc w:val="both"/>
        <w:rPr>
          <w:rFonts w:ascii="Times New Roman" w:hAnsi="Times New Roman"/>
          <w:sz w:val="20"/>
        </w:rPr>
      </w:pPr>
      <w:r>
        <w:rPr>
          <w:rFonts w:ascii="Arial;sans-serif" w:hAnsi="Arial;sans-serif"/>
          <w:b w:val="false"/>
          <w:sz w:val="20"/>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“Business—Competition.”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w:t>
      </w:r>
      <w:r>
        <w:rPr>
          <w:rFonts w:ascii="Times New Roman" w:hAnsi="Times New Roman"/>
          <w:sz w:val="20"/>
        </w:rPr>
        <w:t>“</w:t>
      </w:r>
      <w:r>
        <w:rPr>
          <w:rFonts w:ascii="Arial;sans-serif" w:hAnsi="Arial;sans-serif"/>
          <w:b w:val="false"/>
          <w:i/>
          <w:sz w:val="20"/>
        </w:rPr>
        <w:t>Business – Government Regulation – Coverage and Reimbursement.”</w:t>
      </w:r>
      <w:r>
        <w:rPr>
          <w:rFonts w:ascii="Arial;sans-serif" w:hAnsi="Arial;sans-serif"/>
          <w:b w:val="false"/>
          <w:sz w:val="20"/>
        </w:rPr>
        <w: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incidence and prevalence for target patient populations of bel-sar and any future product candidates has not been established with precision. Bel-sar is a VDC product candidate being developed for the first line treatment of primary choroidal melanoma. Our projections of both the number of people who have choroidal melanoma, as well as additional ocular oncology and bladder cancer indications, are based on our estimates.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choroidal metastasis, and NMIBC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r>
        <w:rPr>
          <w:rFonts w:ascii="Times New Roman" w:hAnsi="Times New Roman"/>
          <w:sz w:val="20"/>
        </w:rPr>
        <w:t xml:space="preserve"> </w:t>
      </w:r>
    </w:p>
    <w:p>
      <w:pPr>
        <w:pStyle w:val="TextBody"/>
        <w:bidi w:val="0"/>
        <w:spacing w:before="240" w:after="0"/>
        <w:jc w:val="both"/>
        <w:rPr>
          <w:rFonts w:ascii="Arial;sans-serif" w:hAnsi="Arial;sans-serif"/>
          <w:b/>
          <w:i/>
          <w:sz w:val="20"/>
        </w:rPr>
      </w:pPr>
      <w:r>
        <w:rPr>
          <w:rFonts w:ascii="Arial;sans-serif" w:hAnsi="Arial;sans-serif"/>
          <w:b/>
          <w:i/>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pStyle w:val="TextBody"/>
        <w:bidi w:val="0"/>
        <w:spacing w:before="80" w:after="0"/>
        <w:jc w:val="both"/>
        <w:rPr>
          <w:rFonts w:ascii="Times New Roman" w:hAnsi="Times New Roman"/>
          <w:sz w:val="20"/>
        </w:rPr>
      </w:pPr>
      <w:r>
        <w:rPr>
          <w:rFonts w:ascii="Arial;sans-serif" w:hAnsi="Arial;sans-serif"/>
          <w:b w:val="false"/>
          <w:sz w:val="20"/>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w:t>
      </w:r>
      <w:r>
        <w:rPr>
          <w:rFonts w:ascii="Arial;sans-serif" w:hAnsi="Arial;sans-serif"/>
          <w:b w:val="false"/>
          <w:i/>
          <w:sz w:val="20"/>
        </w:rPr>
        <w:t>Business – Government Regulation – Health Care Laws and Regulations.”</w:t>
      </w:r>
    </w:p>
    <w:p>
      <w:pPr>
        <w:pStyle w:val="TextBody"/>
        <w:bidi w:val="0"/>
        <w:spacing w:before="240" w:after="0"/>
        <w:jc w:val="center"/>
        <w:rPr>
          <w:rFonts w:ascii="Arial;sans-serif" w:hAnsi="Arial;sans-serif"/>
          <w:b w:val="false"/>
          <w:sz w:val="20"/>
        </w:rPr>
      </w:pPr>
      <w:r>
        <w:rPr>
          <w:rFonts w:ascii="Arial;sans-serif" w:hAnsi="Arial;sans-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Current and future healthcare legislative reform measures may have a material adverse effect on our business and results of operations.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 xml:space="preserve">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w:t>
      </w:r>
      <w:r>
        <w:rPr>
          <w:rFonts w:ascii="Times New Roman" w:hAnsi="Times New Roman"/>
          <w:sz w:val="20"/>
        </w:rPr>
        <w:t>“</w:t>
      </w:r>
      <w:r>
        <w:rPr>
          <w:rFonts w:ascii="Arial;sans-serif" w:hAnsi="Arial;sans-serif"/>
          <w:b w:val="false"/>
          <w:i/>
          <w:sz w:val="20"/>
        </w:rPr>
        <w:t>Business – Government Regulation – Health Care Legislative Updates.”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the United States, there have been, and continue to be, a significant number of legislative initiatives to contain healthcare costs. The United States has also sought to implement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demand for our current or future product candidates, if we obtain regulatory approval;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ability to set a price that we believe is fair for our products;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ability to obtain coverage and reimbursement approval for a product;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ability to generate revenue and achieve or maintain profitability;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level of taxes that we are required to pay;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the availability of capital. </w:t>
      </w:r>
    </w:p>
    <w:p>
      <w:pPr>
        <w:pStyle w:val="TextBody"/>
        <w:bidi w:val="0"/>
        <w:spacing w:before="240" w:after="0"/>
        <w:jc w:val="both"/>
        <w:rPr>
          <w:rFonts w:ascii="Times New Roman" w:hAnsi="Times New Roman"/>
          <w:sz w:val="20"/>
        </w:rPr>
      </w:pPr>
      <w:r>
        <w:rPr>
          <w:rFonts w:ascii="Arial;sans-serif" w:hAnsi="Arial;sans-serif"/>
          <w:b w:val="false"/>
          <w:sz w:val="20"/>
        </w:rPr>
        <w:t>Any reduction in reimbursement from Medicare or other government programs may result in a similar reduction in payments from private payors, which may adversely affect our future profitability.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sz w:val="20"/>
        </w:rPr>
        <w:t>Risks Related to Our Intellectual Property</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i/>
          <w:sz w:val="20"/>
        </w:rPr>
        <w:t>Our ability to compete may decline if we do not adequately protect our proprietary rights, and our proprietary rights do not necessarily address all potential threats to our competitive advantage.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others may design around our patent claims to produce competitive technologies, products or methods that fall outside of the scope of our patents;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we may not obtain patent protection in all jurisdictions that may eventually provide us a significant business opportunity;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any patents issued to us may be successfully challenged by third parties. </w:t>
      </w:r>
    </w:p>
    <w:p>
      <w:pPr>
        <w:pStyle w:val="TextBody"/>
        <w:bidi w:val="0"/>
        <w:spacing w:before="240" w:after="0"/>
        <w:jc w:val="both"/>
        <w:rPr>
          <w:rFonts w:ascii="Times New Roman" w:hAnsi="Times New Roman"/>
          <w:sz w:val="20"/>
        </w:rPr>
      </w:pPr>
      <w:r>
        <w:rPr>
          <w:rFonts w:ascii="Arial;sans-serif" w:hAnsi="Arial;sans-serif"/>
          <w:b w:val="false"/>
          <w:sz w:val="20"/>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may need to license intellectual property from third parties, and such licenses may not be available or may not be available on commercially reasonable terms.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Disputes may also arise between us and our licensors regarding intellectual property subject to a license agreement,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scope of rights granted and related obligations under the license agreement and other interpretation-related issues;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our licensor’s right to license or sublicense patent and other rights to us, and whether and the extent to which the right is retained by a third party; </w:t>
      </w:r>
    </w:p>
    <w:p>
      <w:pPr>
        <w:pStyle w:val="TextBody"/>
        <w:bidi w:val="0"/>
        <w:spacing w:before="240" w:after="0"/>
        <w:jc w:val="center"/>
        <w:rPr>
          <w:rFonts w:ascii="Arial;sans-serif" w:hAnsi="Arial;sans-serif"/>
          <w:b w:val="false"/>
          <w:sz w:val="20"/>
        </w:rPr>
      </w:pPr>
      <w:r>
        <w:rPr>
          <w:rFonts w:ascii="Arial;sans-serif" w:hAnsi="Arial;sans-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whether and the extent to which our technology infringes on intellectual property of the licensor that is not subject to the licensing agreement;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right to sublicense patent and other rights to third parties under collaborative development relationships;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diligence obligations with respect to the use of the licensed technology in relation to our development and commercialization of bel-sar or any future product candidates, and what activities satisfy those diligence obligations;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the ownership of inventions and know-how resulting from the joint creation or use of intellectual property by our licensors and us. </w:t>
      </w:r>
    </w:p>
    <w:p>
      <w:pPr>
        <w:pStyle w:val="TextBody"/>
        <w:bidi w:val="0"/>
        <w:spacing w:before="240" w:after="0"/>
        <w:jc w:val="both"/>
        <w:rPr>
          <w:rFonts w:ascii="Times New Roman" w:hAnsi="Times New Roman"/>
          <w:sz w:val="20"/>
        </w:rPr>
      </w:pPr>
      <w:r>
        <w:rPr>
          <w:rFonts w:ascii="Arial;sans-serif" w:hAnsi="Arial;sans-serif"/>
          <w:b w:val="false"/>
          <w:sz w:val="20"/>
        </w:rPr>
        <w:t>If disputes over intellectual property that we have licensed prevent or impair our ability to maintain our current licensing arrangements on acceptable terms, we may be unable to successfully develop and commercialize the affected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If we do not obtain patent term extension in the United States under the Hatch-Waxman Act and in foreign countries under similar legislation with respect to our bel-sar or a future product candidate, thereby potentially extending the term of marketing exclusivity for such product, our business may be harmed.</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pStyle w:val="TextBody"/>
        <w:bidi w:val="0"/>
        <w:spacing w:before="240" w:after="0"/>
        <w:jc w:val="center"/>
        <w:rPr>
          <w:rFonts w:ascii="Arial;sans-serif" w:hAnsi="Arial;sans-serif"/>
          <w:b w:val="false"/>
          <w:sz w:val="20"/>
        </w:rPr>
      </w:pPr>
      <w:r>
        <w:rPr>
          <w:rFonts w:ascii="Arial;sans-serif" w:hAnsi="Arial;sans-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Patents and patent applications involve highly complex legal and factual questions, which, if determined adversely to us, could negatively impact our patent position.</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sans-serif" w:hAnsi="Arial;sans-serif"/>
          <w:b w:val="false"/>
          <w:i/>
          <w:sz w:val="20"/>
        </w:rPr>
        <w:t>inter partes</w:t>
      </w:r>
      <w:r>
        <w:rPr>
          <w:rFonts w:ascii="Times New Roman" w:hAnsi="Times New Roman"/>
          <w:sz w:val="20"/>
        </w:rPr>
        <w:t xml:space="preserve"> </w:t>
      </w:r>
      <w:r>
        <w:rPr>
          <w:rFonts w:ascii="Arial;sans-serif" w:hAnsi="Arial;sans-serif"/>
          <w:b w:val="false"/>
          <w:sz w:val="20"/>
        </w:rPr>
        <w:t xml:space="preserve">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sans-serif" w:hAnsi="Arial;sans-serif"/>
          <w:b w:val="false"/>
          <w:i/>
          <w:sz w:val="20"/>
        </w:rPr>
        <w:t xml:space="preserve">inter partes </w:t>
      </w:r>
      <w:r>
        <w:rPr>
          <w:rFonts w:ascii="Arial;sans-serif" w:hAnsi="Arial;sans-serif"/>
          <w:b w:val="false"/>
          <w:sz w:val="20"/>
        </w:rPr>
        <w:t>review and opposition proceedings may be costly. Accordingly, rights under any issued patents may not provide us with sufficient protection against competitive products or processes.</w:t>
      </w:r>
    </w:p>
    <w:p>
      <w:pPr>
        <w:pStyle w:val="TextBody"/>
        <w:bidi w:val="0"/>
        <w:spacing w:before="240" w:after="0"/>
        <w:jc w:val="both"/>
        <w:rPr>
          <w:rFonts w:ascii="Times New Roman" w:hAnsi="Times New Roman"/>
          <w:sz w:val="20"/>
        </w:rPr>
      </w:pPr>
      <w:r>
        <w:rPr>
          <w:rFonts w:ascii="Arial;sans-serif" w:hAnsi="Arial;sans-serif"/>
          <w:b w:val="false"/>
          <w:sz w:val="20"/>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sans-serif" w:hAnsi="Arial;sans-serif"/>
          <w:b w:val="false"/>
          <w:i/>
          <w:sz w:val="20"/>
        </w:rPr>
        <w:t>inter partes</w:t>
      </w:r>
      <w:r>
        <w:rPr>
          <w:rFonts w:ascii="Times New Roman" w:hAnsi="Times New Roman"/>
          <w:sz w:val="20"/>
        </w:rPr>
        <w:t xml:space="preserve"> </w:t>
      </w:r>
      <w:r>
        <w:rPr>
          <w:rFonts w:ascii="Arial;sans-serif" w:hAnsi="Arial;sans-serif"/>
          <w:b w:val="false"/>
          <w:sz w:val="20"/>
        </w:rPr>
        <w:t>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pStyle w:val="TextBody"/>
        <w:bidi w:val="0"/>
        <w:spacing w:before="240" w:after="0"/>
        <w:jc w:val="both"/>
        <w:rPr>
          <w:rFonts w:ascii="Times New Roman" w:hAnsi="Times New Roman"/>
          <w:sz w:val="20"/>
        </w:rPr>
      </w:pPr>
      <w:r>
        <w:rPr>
          <w:rFonts w:ascii="Arial;sans-serif" w:hAnsi="Arial;sans-serif"/>
          <w:b w:val="false"/>
          <w:sz w:val="20"/>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If we or our licensors are unable to protect the confidentiality of the proprietary information related to our product or process, our business and competitive position would be harmed.</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and our licensors rely on confidentiality agreements to protect unpatented know-how, technology and other proprietary information related to our product and process, to maintain our competitive position. For example, our licensor LI-COR maintains its manufacture of IRDye 700DX</w:t>
      </w:r>
      <w:r>
        <w:rPr>
          <w:rFonts w:ascii="Arial;sans-serif" w:hAnsi="Arial;sans-serif"/>
          <w:b w:val="false"/>
          <w:sz w:val="12"/>
        </w:rPr>
        <w:t xml:space="preserve">® </w:t>
      </w:r>
      <w:r>
        <w:rPr>
          <w:rFonts w:ascii="Arial;sans-serif" w:hAnsi="Arial;sans-serif"/>
          <w:b w:val="false"/>
          <w:sz w:val="20"/>
        </w:rPr>
        <w:t>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sz w:val="20"/>
        </w:rPr>
        <w:t>Risks Related to our Business and Industry</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i/>
          <w:sz w:val="20"/>
        </w:rPr>
        <w:t>If we lose key management personnel, or if we fail to recruit additional highly skilled personnel, our ability to pursue our business strategy will be impaired, could result in loss of markets or market share and could make us less competitive.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The COVID-19 pandemic, or a similar pandemic, epidemic, or outbreak of an infectious disease, may materially and adversely affect our business and our financial results and could cause a disruption to the development of our product candidates.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Public health crises such as pandemics or similar outbreaks could adversely impact our business. The COVID-19 pandemic continues to evolve, and has led to the implementation of various responses, including government-imposed quarantines, travel restrictions and other public health safety measures. Additionally, timely enrollment in planned clinical trials is dependent upon clinical trial sites which could be adversely affected by global health matters, such as pandemics.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cannot precisely predict the scope and severity of the planned and potential shutdowns or disruptions of businesses and government agencies, such as the SEC, or the FDA. Since March 2020 when foreign and domestic inspections of facilities were largely placed on hold, the FDA has been working to resume pre-pandemic levels of inspection activities, including routine surveillance, bioresearch monitoring and pre-approval inspections on a prioritized basis.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pStyle w:val="TextBody"/>
        <w:bidi w:val="0"/>
        <w:spacing w:before="240" w:after="0"/>
        <w:jc w:val="both"/>
        <w:rPr>
          <w:rFonts w:ascii="Times New Roman" w:hAnsi="Times New Roman"/>
          <w:sz w:val="20"/>
        </w:rPr>
      </w:pPr>
      <w:r>
        <w:rPr>
          <w:rFonts w:ascii="Arial;sans-serif" w:hAnsi="Arial;sans-serif"/>
          <w:b w:val="false"/>
          <w:sz w:val="20"/>
        </w:rPr>
        <w:t>These and other factors arising from COVID-19, or future pandemics,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240" w:after="0"/>
        <w:jc w:val="both"/>
        <w:rPr>
          <w:rFonts w:ascii="Times New Roman" w:hAnsi="Times New Roman"/>
          <w:sz w:val="20"/>
        </w:rPr>
      </w:pPr>
      <w:r>
        <w:rPr>
          <w:rFonts w:ascii="Arial;sans-serif" w:hAnsi="Arial;sans-serif"/>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Changes in tax laws or in their implementation or interpretation may adversely affect us or our investors.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Our internal information technology systems, or those of our third-party CROs, contractors, consultants or others who process sensitive information on our behalf, may fail or suffer security incidents,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In the ordinary course of our business, we may collect, store and transmit confidential information, including intellectual property, proprietary business information and personal information (including health information). It is critical that we do so in a secure manner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those of our CROs and other third parties on which we rely, are vulnerable to damage from computer viruses, unauthorized access,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security incidents from inadvertent or intentional actions (such as error or theft) by our employees, contractors, consultants, business partners, and/or other third parties, phishing attacks, ransomware, denial-of-service attacks, social engineering schemes and other means that affect service reliability and threaten the confidentiality, integrity and availability of information), which may compromise our system infrastructure as well as lead to unauthorized access, disclosure or acquisition of information. Cyberattacks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security incidents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Significant disruptions of our information technology systems or 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the COVID-19 pandemic has resulted in a significant number of our employees and partners working remotely, which increases the risk of a data breach or issues with data and cybersecurity. To the extent that any disruption or security incident results in a loss of, or damage to, our data or applications, or inappropriate disclosure of confidential or proprietary information, we could incur liability and the further development of our future product candidates could be delayed.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security incidents. Failure to prevent or mitigate cyberattacks could result in unauthorized access to data, including personal data. Most jurisdictions have enacted laws requiring companies to notify individuals, regulatory authorities, and others of security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security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breach. In addition, our efforts to contain or remediate a security incident or any vulnerability exploited to cause an incident may be unsuccessful, and efforts and any related failures to contain or remediate them could result in interruptions, delays, harm to our reputation, and increases to our insurance coverage.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In addition, litigation resulting from security breaches may adversely affect our business. Unauthorized access to our information technology systems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security breach were to occur and the confidentiality, integrity or availability of our data or the data of our collaborators were disrupted, we could incur significant liability, which could negatively affect our business and damage our reputation.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the Health Insurance Portability and Accountability Act, or HIPAA, as amended by the Health Information Technology for Economic and Clinical Health Act, or HITECH.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The CCPA became effective on January 1, 2020, and gives California residents expanded rights to access and delete their personal data, opt out of certain personal data sharing and receive detailed information about how their personal data is used. The CCPA requires covered businesses to provide new disclosures to California residents. The CCPA provides for civil penalties for violations, as well as a private right of action for data breaches that is expected to increase data breach litigation. Although there are limited exemptions for clinical trial data and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or CPRA, becomes operative. The CPRA will, among other things, give California residents the ability to limit use of certain sensitive information, establish restrictions on the retention of personal data, expand the types of data breaches subject to the CCPA’s private right of action and establish a new California Privacy Protection Agency to implement and enforce the new law. In addition, other states have enacted or proposed data privacy laws. For example, Virginia recently passed its Consumer Data Protection Act and Colorado recently passed the Colorado Privacy Act, both of which differ from the CPRA and go into effect in 2023. These laws demonstrate our vulnerability to the evolving regulatory environment related to personal data. As we expand our operations, these and similar laws may increase our compliance costs and potential liability.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or personal data. These obligations include, without limitation, several requirements relating to transparency related to communications with data subjects regarding the processing of their personal data, obtaining the consent of the individuals to whom the personal data relates in certain circumstances, limitations on the retention of personal data, increased requirements pertaining to health data, establishing a legal basis for processing,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GDPR prohibits the transfer of personal data to countries outside the EEA/UK which are not considered by the European Commission and UK government as providing “adequate” protection of personal data, including the United States, unless a valid GDPR transfer mechanism (for example, the European Commission approved Standard Contractual Clauses, or SCCs, and the UK International Data Transfer Agreement/Addendum, or UK IDTA) has been put in place. Where relying on the SCCs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significant effort and cost, and may result in us needing to make strategic considerations around where EEA/UK personal data is transferred and which service providers we can utilize for the processing of EEA/UK personal data.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Although the UK is regarded as a third country under the EU GDPR, the European Commission has issued a decision recognizing the UK as providing adequate protection under the EU GDPR, or Adequacy Decision, and, therefore, transfers of personal data originating in the EEA to the UK remain unrestricted. The UK government has confirmed that personal data transfers from the UK to the EEA remain free flowing. The UK Government has also now introduced a Data Protection and Digital Information Bill, or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 Commission. This may lead to additional compliance costs and could increase our overall risk. The respective provisions and enforcement of the EU GDPR and UK GDPR may further diverge in the future and create additional regulatory challenges and uncertainties.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Business disruptions could seriously harm our future revenue and financial condition and increase our costs and expenses.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Any future acquisitions, in-licensing or strategic partnerships may increase our capital requirements, dilute our stockholders, divert our management’s attention, cause us to incur debt or assume contingent liabilities and subject us to other risks.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increased operating expenses and cash requirements;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assumption of indebtedness or contingent liabilities;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issuance of our equity securities which would result in dilution to our stockholders;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assimilation of operations, intellectual property, products and product candidates of an acquired company, including difficulties associated with integrating new personnel;</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diversion of our management’s attention from our existing product candidates and initiatives in pursuing such an acquisition or strategic partnership;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spend substantial operational, financial and management resources in integrating new businesses, technologies and products;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retention of key employees, the loss of key personnel, and uncertainties in our ability to maintain key business relationships;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0"/>
        <w:jc w:val="both"/>
        <w:rPr>
          <w:rFonts w:ascii="Times New Roman" w:hAnsi="Times New Roman"/>
          <w:sz w:val="20"/>
        </w:rPr>
      </w:pPr>
      <w:r>
        <w:rPr>
          <w:rFonts w:ascii="Arial;sans-serif" w:hAnsi="Arial;sans-serif"/>
          <w:b w:val="false"/>
          <w:sz w:val="20"/>
        </w:rPr>
        <w:t>In addition, if we undertake such a transaction, we may incur large one-time expenses and acquire intangible assets that could result in significant future amortization expense.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or the third parties upon whom we depend on may be adversely affected by natural disasters and our business continuity and disaster recovery plans may not adequately protect us from a serious disaster.</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Product liability lawsuits against us could cause us to incur substantial liabilities and could limit commercialization of any current or future product candidates that we may develop.</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decreased demand for any current or future product candidates that we may develop;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injury to our reputation and significant negative media attention;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withdrawal of clinical trial participants;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significant costs to defend the related litigation;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 diversion of management’s time and resources;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substantial monetary awards to trial participants or patients;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product recalls, withdrawals or labeling, marketing or promotional restrictions;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loss of revenue;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 decline in our stock price;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the inability to commercialize any current or future product candidates that we may develop. </w:t>
      </w:r>
    </w:p>
    <w:p>
      <w:pPr>
        <w:pStyle w:val="TextBody"/>
        <w:bidi w:val="0"/>
        <w:spacing w:before="240" w:after="0"/>
        <w:jc w:val="both"/>
        <w:rPr>
          <w:rFonts w:ascii="Times New Roman" w:hAnsi="Times New Roman"/>
          <w:sz w:val="20"/>
        </w:rPr>
      </w:pPr>
      <w:r>
        <w:rPr>
          <w:rFonts w:ascii="Arial;sans-serif" w:hAnsi="Arial;sans-serif"/>
          <w:b w:val="false"/>
          <w:sz w:val="20"/>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sz w:val="20"/>
        </w:rPr>
        <w:t xml:space="preserve"> </w:t>
      </w:r>
    </w:p>
    <w:p>
      <w:pPr>
        <w:pStyle w:val="TextBody"/>
        <w:bidi w:val="0"/>
        <w:spacing w:before="240" w:after="0"/>
        <w:jc w:val="both"/>
        <w:rPr>
          <w:rFonts w:ascii="Arial;sans-serif" w:hAnsi="Arial;sans-serif"/>
          <w:b/>
          <w:sz w:val="20"/>
        </w:rPr>
      </w:pPr>
      <w:r>
        <w:rPr>
          <w:rFonts w:ascii="Arial;sans-serif" w:hAnsi="Arial;sans-serif"/>
          <w:b/>
          <w:sz w:val="20"/>
        </w:rPr>
        <w:t>Risks Related to Our Common Stock</w:t>
      </w:r>
    </w:p>
    <w:p>
      <w:pPr>
        <w:pStyle w:val="TextBody"/>
        <w:bidi w:val="0"/>
        <w:spacing w:before="80" w:after="0"/>
        <w:jc w:val="both"/>
        <w:rPr>
          <w:rFonts w:ascii="Times New Roman" w:hAnsi="Times New Roman"/>
          <w:sz w:val="20"/>
        </w:rPr>
      </w:pPr>
      <w:r>
        <w:rPr>
          <w:rFonts w:ascii="Arial;sans-serif" w:hAnsi="Arial;sans-serif"/>
          <w:b/>
          <w:i/>
          <w:sz w:val="20"/>
        </w:rPr>
        <w:t>If securities or industry analysts do not publish research or publish inaccurate or unfavorable research about our business, our stock price and trading volume could decline.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Our principal stockholders and management own a significant percentage of our stock and will be able to exert significant influence over matters subject to stockholder approval.</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Based on the beneficial ownership of our common stock as of March 31, 2023, our executive officers, directors, holders of 5% or more of our capital stock and their respective affiliates beneficially owned approximately 55%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Our ability to utilize our net operating loss carryforwards and certain other tax attributes may be limited.</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2022, we had federal gross operating loss carryforwards of approximately $155.1 million, and state gross operating loss carryforwards of $127.5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net operating losses is limited to 80% of our taxable income in such taxable years.</w:t>
      </w:r>
    </w:p>
    <w:p>
      <w:pPr>
        <w:pStyle w:val="TextBody"/>
        <w:bidi w:val="0"/>
        <w:spacing w:before="240" w:after="0"/>
        <w:jc w:val="both"/>
        <w:rPr>
          <w:rFonts w:ascii="Arial;sans-serif" w:hAnsi="Arial;sans-serif"/>
          <w:b/>
          <w:i/>
          <w:sz w:val="20"/>
        </w:rPr>
      </w:pPr>
      <w:r>
        <w:rPr>
          <w:rFonts w:ascii="Arial;sans-serif" w:hAnsi="Arial;sans-serif"/>
          <w:b/>
          <w:i/>
          <w:sz w:val="20"/>
        </w:rPr>
        <w:t>Because we do not anticipate paying any cash dividends on our capital stock in the foreseeable future, capital appreciation, if any, will be your sole source of gain.</w:t>
      </w:r>
    </w:p>
    <w:p>
      <w:pPr>
        <w:pStyle w:val="TextBody"/>
        <w:bidi w:val="0"/>
        <w:spacing w:before="80" w:after="0"/>
        <w:jc w:val="both"/>
        <w:rPr>
          <w:rFonts w:ascii="Times New Roman" w:hAnsi="Times New Roman"/>
          <w:sz w:val="20"/>
        </w:rPr>
      </w:pPr>
      <w:r>
        <w:rPr>
          <w:rFonts w:ascii="Arial;sans-serif" w:hAnsi="Arial;sans-serif"/>
          <w:b w:val="false"/>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For a further description of our dividend policy, please refer to the section entitled “Dividend Policy.”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may be subject to securities litigation, which is expensive and could divert management attention.</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expect our operating results to be subject to quarterly fluctuations. Our net loss and other operating results will be affected by numerous factors, including: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variations in the level of expense related to the ongoing development of bel-sar or future development programs;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results of clinical trials, or the addition or termination of clinical trials or funding support by us, or existing or future collaborators or licensing partners;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any intellectual property infringement lawsuit or opposition, interference or cancellation proceeding in which we may become involved;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additions and departures of key personnel;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strategic decisions by us or our competitors, such as acquisitions, divestitures, spin-offs, joint ventures, strategic investments or changes in business strategy;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if any of our product candidates receives regulatory approval, the terms of such approval and market acceptance and demand for such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regulatory developments affecting our product candidates or those of our competitors;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changes in general market and economic conditions, including inflationary pressures. </w:t>
      </w:r>
    </w:p>
    <w:p>
      <w:pPr>
        <w:pStyle w:val="TextBody"/>
        <w:bidi w:val="0"/>
        <w:spacing w:before="240" w:after="0"/>
        <w:jc w:val="both"/>
        <w:rPr>
          <w:rFonts w:ascii="Times New Roman" w:hAnsi="Times New Roman"/>
          <w:sz w:val="20"/>
        </w:rPr>
      </w:pPr>
      <w:r>
        <w:rPr>
          <w:rFonts w:ascii="Arial;sans-serif" w:hAnsi="Arial;sans-serif"/>
          <w:b w:val="false"/>
          <w:sz w:val="20"/>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Our amended and restated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Anti-takeover provisions in our amended and restated Certificate of Incorporation and bylaws and under Delaware law could make an acquisition of us, which may be beneficial to our stockholders, more difficult and may prevent attempts by our stockholders to replace or remove our current management and, therefore, decrease the trading price of our common stock.</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Our fourth amended and restated certificate of incorporation and amended and restated bylaws contain provisions that could delay or prevent a change of control of our company or changes in our Board that our stockholders might consider favorable. Some of these provisions include:</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 Board divided into three classes serving staggered three-year terms, such that not all members of the Board will be elected at one time;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 prohibition on stockholder action through written consent, which requires that all stockholder actions be taken at a meeting of our stockholders;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advance notice requirements for stockholder proposals and nominations for election to our Board;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bidi w:val="0"/>
        <w:spacing w:before="240" w:after="0"/>
        <w:jc w:val="center"/>
        <w:rPr>
          <w:rFonts w:ascii="Arial;sans-serif" w:hAnsi="Arial;sans-serif"/>
          <w:b w:val="false"/>
          <w:sz w:val="20"/>
        </w:rPr>
      </w:pPr>
      <w:r>
        <w:rPr>
          <w:rFonts w:ascii="Arial;sans-serif" w:hAnsi="Arial;sans-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the authority of the Board to issue preferred stock on terms determined by the Board without stockholder approval, which preferred stock may include rights superior to the rights of the holders of common stock. </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pStyle w:val="TextBody"/>
        <w:bidi w:val="0"/>
        <w:spacing w:before="240" w:after="0"/>
        <w:jc w:val="both"/>
        <w:rPr>
          <w:rFonts w:ascii="Arial;sans-serif" w:hAnsi="Arial;sans-serif"/>
          <w:b/>
          <w:i/>
          <w:sz w:val="20"/>
        </w:rPr>
      </w:pPr>
      <w:r>
        <w:rPr>
          <w:rFonts w:ascii="Arial;sans-serif" w:hAnsi="Arial;sans-serif"/>
          <w:b/>
          <w:i/>
          <w:sz w:val="20"/>
        </w:rPr>
        <w:t>Future sales and issuances of our common stock or rights to acquire shares of our common stock, could result in additional dilution to the ownership of our stockholders and cause the market price of our common stock to decline significantly.</w:t>
      </w:r>
    </w:p>
    <w:p>
      <w:pPr>
        <w:pStyle w:val="TextBody"/>
        <w:bidi w:val="0"/>
        <w:spacing w:before="80" w:after="0"/>
        <w:jc w:val="both"/>
        <w:rPr>
          <w:rFonts w:ascii="Arial;sans-serif" w:hAnsi="Arial;sans-serif"/>
          <w:b w:val="false"/>
          <w:sz w:val="20"/>
        </w:rPr>
      </w:pPr>
      <w:r>
        <w:rPr>
          <w:rFonts w:ascii="Arial;sans-serif" w:hAnsi="Arial;sans-serif"/>
          <w:b w:val="false"/>
          <w:sz w:val="20"/>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November 2022, we filed a registration statement on Form S-3 relating to the registration of our common stock, preferred stock, debt securities, warrants and units or any combination thereof. Concurrently with the filing of such registration statement, we entered into an ATM, which provides for the offering, issuance and sale by us of shares of our common stock from time to time for aggregate gross proceeds of up to $75 million in sales deemed to be “at-the-market offerings” as defined by the Securities Act of 1933, as amended.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pStyle w:val="TextBody"/>
        <w:bidi w:val="0"/>
        <w:spacing w:before="240" w:after="0"/>
        <w:jc w:val="both"/>
        <w:rPr>
          <w:rFonts w:ascii="Arial;sans-serif" w:hAnsi="Arial;sans-serif"/>
          <w:b w:val="false"/>
          <w:sz w:val="20"/>
        </w:rPr>
      </w:pPr>
      <w:r>
        <w:rPr>
          <w:rFonts w:ascii="Arial;sans-serif" w:hAnsi="Arial;sans-serif"/>
          <w:b w:val="false"/>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March 31, 2023, we have 37,800,102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pStyle w:val="TextBody"/>
        <w:bidi w:val="0"/>
        <w:spacing w:before="240" w:after="0"/>
        <w:jc w:val="center"/>
        <w:rPr>
          <w:rFonts w:ascii="Arial;sans-serif" w:hAnsi="Arial;sans-serif"/>
          <w:b w:val="false"/>
          <w:sz w:val="20"/>
        </w:rPr>
      </w:pPr>
      <w:r>
        <w:rPr>
          <w:rFonts w:ascii="Arial;sans-serif" w:hAnsi="Arial;sans-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sz w:val="20"/>
        </w:rPr>
        <w:t>General Risk Factors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r>
        <w:rPr>
          <w:rFonts w:ascii="Times New Roman" w:hAnsi="Times New Roman"/>
          <w:sz w:val="20"/>
        </w:rPr>
        <w:t xml:space="preserve"> </w:t>
      </w:r>
    </w:p>
    <w:p>
      <w:pPr>
        <w:pStyle w:val="TextBody"/>
        <w:bidi w:val="0"/>
        <w:spacing w:before="80" w:after="0"/>
        <w:jc w:val="both"/>
        <w:rPr>
          <w:rFonts w:ascii="Arial;sans-serif" w:hAnsi="Arial;sans-serif"/>
          <w:b w:val="false"/>
          <w:sz w:val="20"/>
        </w:rPr>
      </w:pPr>
      <w:r>
        <w:rPr>
          <w:rFonts w:ascii="Arial;sans-serif" w:hAnsi="Arial;sans-serif"/>
          <w:b w:val="false"/>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swept into receivership. Although a statement by the Department of the Treasury, the Federal Reserve and the FDIC stated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For example, when SVB was placed into receivership, 15% of our cash, cash equivalents, and marketable securities were held at SVB in operating accounts and money market mutual funds. We also have a letter of credit held with SVB related to our operating lease and a deposit for a credit held by SVB classified on our balance sheet as restricted cash, which represents less than 1% of our cash, cash equivalents, restricted cash, and marketable securities.</w:t>
      </w:r>
    </w:p>
    <w:p>
      <w:pPr>
        <w:pStyle w:val="TextBody"/>
        <w:bidi w:val="0"/>
        <w:spacing w:before="240" w:after="0"/>
        <w:jc w:val="both"/>
        <w:rPr>
          <w:rFonts w:ascii="Arial;sans-serif" w:hAnsi="Arial;sans-serif"/>
          <w:b w:val="false"/>
          <w:sz w:val="20"/>
        </w:rPr>
      </w:pPr>
      <w:r>
        <w:rPr>
          <w:rFonts w:ascii="Arial;sans-serif" w:hAnsi="Arial;sans-serif"/>
          <w:b w:val="false"/>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0"/>
        <w:jc w:val="center"/>
        <w:rPr>
          <w:rFonts w:ascii="Arial;sans-serif" w:hAnsi="Arial;sans-serif"/>
          <w:b w:val="false"/>
          <w:sz w:val="20"/>
        </w:rPr>
      </w:pPr>
      <w:r>
        <w:rPr>
          <w:rFonts w:ascii="Arial;sans-serif" w:hAnsi="Arial;sans-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pStyle w:val="TextBody"/>
        <w:bidi w:val="0"/>
        <w:spacing w:before="240" w:after="0"/>
        <w:jc w:val="both"/>
        <w:rPr>
          <w:rFonts w:ascii="Arial;sans-serif" w:hAnsi="Arial;sans-serif"/>
          <w:b w:val="false"/>
          <w:sz w:val="20"/>
        </w:rPr>
      </w:pPr>
      <w:r>
        <w:rPr>
          <w:rFonts w:ascii="Arial;sans-serif" w:hAnsi="Arial;sans-serif"/>
          <w:b w:val="false"/>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delayed access to deposits or other financial assets or the uninsured loss of deposits or other financial assets;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loss of access to revolving existing credit facilities or other working capital sources and/or the inability to refund, roll over or extend the maturity of, or enter into new credit facilities or other working capital resources;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potential or actual breach of contractual obligations that require the Company to maintain letters or credit or other credit support arrangements;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potential or actual breach of financial covenants in our credit agreements or credit arrangements;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potential or actual cross-defaults in other credit agreements, credit arrangements or operating or financing agreements; or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termination of cash management arrangements and/or delays in accessing or actual loss of funds subject to cash management arrangements.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the Company and may material adverse impacts on our business.</w:t>
      </w:r>
    </w:p>
    <w:p>
      <w:pPr>
        <w:pStyle w:val="TextBody"/>
        <w:bidi w:val="0"/>
        <w:spacing w:before="240" w:after="0"/>
        <w:jc w:val="center"/>
        <w:rPr>
          <w:rFonts w:ascii="Arial;sans-serif" w:hAnsi="Arial;sans-serif"/>
          <w:b w:val="false"/>
          <w:sz w:val="20"/>
        </w:rPr>
      </w:pPr>
      <w:r>
        <w:rPr>
          <w:rFonts w:ascii="Arial;sans-serif" w:hAnsi="Arial;sans-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Unfavorable global economic or political conditions could adversely affect our business, financial condition or results of operations.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the U.S. and international markets. See “Risks Related to our Business and Industry</w:t>
      </w:r>
      <w:r>
        <w:rPr>
          <w:rFonts w:ascii="Times New Roman" w:hAnsi="Times New Roman"/>
          <w:sz w:val="20"/>
        </w:rPr>
        <w:t>—</w:t>
      </w:r>
      <w:r>
        <w:rPr>
          <w:rFonts w:ascii="Arial;sans-serif" w:hAnsi="Arial;sans-serif"/>
          <w:b w:val="false"/>
          <w:sz w:val="20"/>
        </w:rPr>
        <w:t>The COVID-19 pandemic, or a similar pandemic, epidemic, or outbreak of an infectious disease may materially and adversely affect our business and our financial results and could cause a disruption to the development of our product candidates.” In addition, the current military conflict between Russia and Ukraine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r>
        <w:rPr>
          <w:rFonts w:ascii="Times New Roman" w:hAnsi="Times New Roman"/>
          <w:sz w:val="20"/>
        </w:rPr>
        <w:t xml:space="preserve"> </w:t>
      </w:r>
    </w:p>
    <w:p>
      <w:pPr>
        <w:pStyle w:val="TextBody"/>
        <w:bidi w:val="0"/>
        <w:spacing w:before="240" w:after="0"/>
        <w:jc w:val="both"/>
        <w:rPr>
          <w:rFonts w:ascii="Arial;sans-serif" w:hAnsi="Arial;sans-serif"/>
          <w:b/>
          <w:i/>
          <w:sz w:val="20"/>
        </w:rPr>
      </w:pPr>
      <w:r>
        <w:rPr>
          <w:rFonts w:ascii="Arial;sans-serif" w:hAnsi="Arial;sans-serif"/>
          <w:b/>
          <w:i/>
          <w:sz w:val="20"/>
        </w:rPr>
        <w:t>Our employees, independent contractors, consultants, academic collaborators, partners and vendors may engage in misconduct or other improper activities, including noncompliance with regulatory standards and requirements.</w:t>
      </w:r>
    </w:p>
    <w:p>
      <w:pPr>
        <w:pStyle w:val="TextBody"/>
        <w:bidi w:val="0"/>
        <w:spacing w:before="80" w:after="0"/>
        <w:jc w:val="both"/>
        <w:rPr>
          <w:rFonts w:ascii="Times New Roman" w:hAnsi="Times New Roman"/>
          <w:sz w:val="20"/>
        </w:rPr>
      </w:pPr>
      <w:r>
        <w:rPr>
          <w:rFonts w:ascii="Arial;sans-serif" w:hAnsi="Arial;sans-serif"/>
          <w:b w:val="false"/>
          <w:sz w:val="20"/>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or Section 404, as amended,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We will remain an “emerging growth company” until the earlier of (i) the last day of the fiscal year (a) following the fifth anniversary of the closing of our IPO, (b) in which we have total annual gross revenue of at least $1.07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The market price of our stock may be volatile, and you could lose all or part of your investment.</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The trading price of our common stock is highly volatile and subject to wide fluctuations in response to various factors, some of which we cannot control. As a result of this volatility, you may not be able to sell their common stock at or above the price you paid for your common stock. The market price for our common stock may be influenced by many factors, including the other risks described in the section of this Quarterly Report on Form 10-Q entitled “Risk Factors” and the following:</w:t>
      </w:r>
      <w:r>
        <w:rPr>
          <w:rFonts w:ascii="Times New Roman" w:hAnsi="Times New Roman"/>
          <w:sz w:val="20"/>
        </w:rPr>
        <w:t xml:space="preserve">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results of preclinical studies and results or enrollment of clinical trials of bel-sar or our future product candidates, or those of our potential future competitors or our existing or future collaborators;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impact of the COVID-19 pandemic on our employees, trials, collaboration partners, suppliers, our results of operations, liquidity and financial condition;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regulatory or legal developments in the United States and other countries, especially changes in laws or regulations applicable to our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success of future competitive products or technologies;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introductions and announcements of new products by us, our future commercialization partners, or our competitors, and the timing of these introductions or announcements;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actions taken by regulatory agencies with respect to our products, clinical trials, manufacturing process or sales and marketing terms;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actual or anticipated variations in our financial results or those of companies that are perceived to be similar to us;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success of our efforts to acquire or in-license additional technologies, products or product candidates;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developments concerning any future collaborations, including but not limited to those with our sources of manufacturing supply and our commercialization partners; </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market conditions in the pharmaceutical and biotechnology sectors; </w:t>
      </w:r>
    </w:p>
    <w:p>
      <w:pPr>
        <w:pStyle w:val="TextBody"/>
        <w:bidi w:val="0"/>
        <w:spacing w:before="240" w:after="0"/>
        <w:jc w:val="center"/>
        <w:rPr>
          <w:rFonts w:ascii="Arial;sans-serif" w:hAnsi="Arial;sans-serif"/>
          <w:b w:val="false"/>
          <w:sz w:val="20"/>
        </w:rPr>
      </w:pPr>
      <w:r>
        <w:rPr>
          <w:rFonts w:ascii="Arial;sans-serif" w:hAnsi="Arial;sans-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announcements by us or our competitors of significant acquisitions, strategic collaborations, joint ventures or capital commitments;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developments or disputes concerning patents or other proprietary rights, including patents, litigation matters and our ability to obtain patent protection for bel-sar or our future product candidates and products;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ability or inability to raise additional capital and the terms on which we raise it;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recruitment or departure of key personnel;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changes in the structure of healthcare payment systems;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our failure or the failure of our competitors to meet analysts’ projections or guidance that we or our competitors may give to the market;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fluctuations in the valuation of companies perceived by investors to be comparable to us;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announcement and expectation of additional financing efforts;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speculation in the press or investment community;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trading volume of our common stock;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sales of our common stock by us or our stockholders;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the concentrated ownership of our common stock;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 xml:space="preserve">changes in accounting principles; </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natural disasters, pandemics and other calamities;</w:t>
      </w:r>
    </w:p>
    <w:p>
      <w:pPr>
        <w:pStyle w:val="TextBody"/>
        <w:bidi w:val="0"/>
        <w:spacing w:before="40" w:after="0"/>
        <w:jc w:val="both"/>
        <w:rPr/>
      </w:pPr>
      <w:r>
        <w:rPr/>
        <w:t>▪</w:t>
      </w:r>
    </w:p>
    <w:p>
      <w:pPr>
        <w:pStyle w:val="TextBody"/>
        <w:bidi w:val="0"/>
        <w:spacing w:before="40" w:after="0"/>
        <w:jc w:val="both"/>
        <w:rPr>
          <w:rFonts w:ascii="Arial;sans-serif" w:hAnsi="Arial;sans-serif"/>
          <w:b w:val="false"/>
          <w:sz w:val="20"/>
        </w:rPr>
      </w:pPr>
      <w:r>
        <w:rPr>
          <w:rFonts w:ascii="Arial;sans-serif" w:hAnsi="Arial;sans-serif"/>
          <w:b w:val="false"/>
          <w:sz w:val="20"/>
        </w:rPr>
        <w:t>acts of war or periods of widespread civil unrest, including the increasingly volatile global economic conditions resulting from the Russia-Ukraine conflict; and</w:t>
      </w:r>
    </w:p>
    <w:p>
      <w:pPr>
        <w:pStyle w:val="TextBody"/>
        <w:bidi w:val="0"/>
        <w:spacing w:before="40" w:after="0"/>
        <w:jc w:val="both"/>
        <w:rPr/>
      </w:pPr>
      <w:r>
        <w:rPr/>
        <w:t>▪</w:t>
      </w:r>
    </w:p>
    <w:p>
      <w:pPr>
        <w:pStyle w:val="TextBody"/>
        <w:bidi w:val="0"/>
        <w:spacing w:before="40" w:after="283"/>
        <w:jc w:val="both"/>
        <w:rPr>
          <w:rFonts w:ascii="Arial;sans-serif" w:hAnsi="Arial;sans-serif"/>
          <w:b w:val="false"/>
          <w:sz w:val="20"/>
        </w:rPr>
      </w:pPr>
      <w:r>
        <w:rPr>
          <w:rFonts w:ascii="Arial;sans-serif" w:hAnsi="Arial;sans-serif"/>
          <w:b w:val="false"/>
          <w:sz w:val="20"/>
        </w:rPr>
        <w:t xml:space="preserve">general economic, industry, and market conditions, including inflationary pressures. </w:t>
      </w:r>
    </w:p>
    <w:p>
      <w:pPr>
        <w:pStyle w:val="TextBody"/>
        <w:bidi w:val="0"/>
        <w:spacing w:before="240" w:after="0"/>
        <w:jc w:val="both"/>
        <w:rPr>
          <w:rFonts w:ascii="Times New Roman" w:hAnsi="Times New Roman"/>
          <w:sz w:val="20"/>
        </w:rPr>
      </w:pPr>
      <w:r>
        <w:rPr>
          <w:rFonts w:ascii="Arial;sans-serif" w:hAnsi="Arial;sans-serif"/>
          <w:b w:val="false"/>
          <w:sz w:val="20"/>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insubstantial costs and a diversion of management’s attention and our resources, which could harm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have incurred and will continue to incur increased costs as a result of operating as a public company, and our management devotes substantial time to compliance initiatives.</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Our disclosure controls and procedures may not prevent or detect all errors or acts of fraud.</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Arial;sans-serif" w:hAnsi="Arial;sans-serif"/>
          <w:b w:val="false"/>
          <w:sz w:val="20"/>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0"/>
        <w:jc w:val="both"/>
        <w:rPr>
          <w:rFonts w:ascii="Arial;sans-serif" w:hAnsi="Arial;sans-serif"/>
          <w:b/>
          <w:i/>
          <w:sz w:val="20"/>
        </w:rPr>
      </w:pPr>
      <w:r>
        <w:rPr>
          <w:rFonts w:ascii="Arial;sans-serif" w:hAnsi="Arial;sans-serif"/>
          <w:b/>
          <w:i/>
          <w:sz w:val="20"/>
        </w:rPr>
        <w:t>Global economic uncertainty and unfavorable global economic conditions caused by political instability, changes in trade agreements and conflicts, such as the conflict between Russia and Ukraine, could adversely affect our business, financial condition, results of operations or prospects.</w:t>
      </w:r>
    </w:p>
    <w:p>
      <w:pPr>
        <w:pStyle w:val="TextBody"/>
        <w:bidi w:val="0"/>
        <w:spacing w:before="80" w:after="0"/>
        <w:jc w:val="both"/>
        <w:rPr>
          <w:rFonts w:ascii="Times New Roman" w:hAnsi="Times New Roman"/>
          <w:sz w:val="20"/>
        </w:rPr>
      </w:pPr>
      <w:r>
        <w:rPr>
          <w:rFonts w:ascii="Arial;sans-serif" w:hAnsi="Arial;sans-serif"/>
          <w:b w:val="false"/>
          <w:sz w:val="20"/>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conflict,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bookmarkStart w:id="17" w:name="item_2_unregistered_securities"/>
      <w:bookmarkEnd w:id="17"/>
      <w:r>
        <w:rPr>
          <w:rFonts w:ascii="Arial;sans-serif" w:hAnsi="Arial;sans-serif"/>
          <w:b/>
          <w:sz w:val="20"/>
        </w:rPr>
        <w:t>Item 2. Unregistered Sales</w:t>
      </w:r>
      <w:bookmarkStart w:id="18" w:name="item_2_unregistered_sales_of_equity"/>
      <w:bookmarkEnd w:id="18"/>
      <w:r>
        <w:rPr>
          <w:rFonts w:ascii="Times New Roman" w:hAnsi="Times New Roman"/>
          <w:sz w:val="20"/>
        </w:rPr>
        <w:t xml:space="preserve"> </w:t>
      </w:r>
      <w:r>
        <w:rPr>
          <w:rFonts w:ascii="Arial;sans-serif" w:hAnsi="Arial;sans-serif"/>
          <w:b/>
          <w:sz w:val="20"/>
        </w:rPr>
        <w:t>of Equity Securities and Use of Proceeds.</w:t>
      </w:r>
    </w:p>
    <w:p>
      <w:pPr>
        <w:pStyle w:val="TextBody"/>
        <w:bidi w:val="0"/>
        <w:spacing w:before="80" w:after="0"/>
        <w:jc w:val="both"/>
        <w:rPr>
          <w:rFonts w:ascii="Arial;sans-serif" w:hAnsi="Arial;sans-serif"/>
          <w:b/>
          <w:sz w:val="20"/>
        </w:rPr>
      </w:pPr>
      <w:r>
        <w:rPr>
          <w:rFonts w:ascii="Arial;sans-serif" w:hAnsi="Arial;sans-serif"/>
          <w:b/>
          <w:sz w:val="20"/>
        </w:rPr>
        <w:t>(a) Recent Sales of Unregistered Equity Securities</w:t>
      </w:r>
    </w:p>
    <w:p>
      <w:pPr>
        <w:pStyle w:val="TextBody"/>
        <w:bidi w:val="0"/>
        <w:spacing w:before="80" w:after="0"/>
        <w:jc w:val="both"/>
        <w:rPr>
          <w:rFonts w:ascii="Arial;sans-serif" w:hAnsi="Arial;sans-serif"/>
          <w:b w:val="false"/>
          <w:sz w:val="20"/>
        </w:rPr>
      </w:pPr>
      <w:r>
        <w:rPr>
          <w:rFonts w:ascii="Arial;sans-serif" w:hAnsi="Arial;sans-serif"/>
          <w:b w:val="false"/>
          <w:sz w:val="20"/>
        </w:rPr>
        <w:t>None.</w:t>
      </w:r>
    </w:p>
    <w:p>
      <w:pPr>
        <w:pStyle w:val="TextBody"/>
        <w:bidi w:val="0"/>
        <w:spacing w:before="240" w:after="0"/>
        <w:jc w:val="both"/>
        <w:rPr>
          <w:rFonts w:ascii="Arial;sans-serif" w:hAnsi="Arial;sans-serif"/>
          <w:b/>
          <w:sz w:val="20"/>
        </w:rPr>
      </w:pPr>
      <w:r>
        <w:rPr>
          <w:rFonts w:ascii="Arial;sans-serif" w:hAnsi="Arial;sans-serif"/>
          <w:b/>
          <w:sz w:val="20"/>
        </w:rPr>
        <w:t>(b) Use of Proceeds from Initial Public Offering of Common Stock</w:t>
      </w:r>
    </w:p>
    <w:p>
      <w:pPr>
        <w:pStyle w:val="TextBody"/>
        <w:bidi w:val="0"/>
        <w:spacing w:before="80" w:after="0"/>
        <w:jc w:val="both"/>
        <w:rPr>
          <w:rFonts w:ascii="Arial;sans-serif" w:hAnsi="Arial;sans-serif"/>
          <w:b w:val="false"/>
          <w:sz w:val="20"/>
        </w:rPr>
      </w:pPr>
      <w:r>
        <w:rPr>
          <w:rFonts w:ascii="Arial;sans-serif" w:hAnsi="Arial;sans-serif"/>
          <w:b w:val="false"/>
          <w:sz w:val="20"/>
        </w:rPr>
        <w:t>On November 2, 2021, we completed our IPO in which we issued and sold 5,400,000 shares of our common stock at a public offering price of $14.00 per share. We received net proceeds from the IPO of $67.8 million, after deducting underwriters’ discounts, commissions and estimated offering-related costs. In connection with the IPO, we granted the underwriters a 30-day option to purchase an additional 810,000 shares. On November 8, 2021, the underwriters exercised the option in full and we issued 810,000 shares of common stock for aggregate net proceeds of $10.5 million, after deducting underwriters’ discounts and commissions of $0.8 million.</w:t>
      </w:r>
    </w:p>
    <w:p>
      <w:pPr>
        <w:pStyle w:val="TextBody"/>
        <w:bidi w:val="0"/>
        <w:spacing w:before="240" w:after="0"/>
        <w:jc w:val="center"/>
        <w:rPr>
          <w:rFonts w:ascii="Arial;sans-serif" w:hAnsi="Arial;sans-serif"/>
          <w:b w:val="false"/>
          <w:sz w:val="20"/>
        </w:rPr>
      </w:pPr>
      <w:r>
        <w:rPr>
          <w:rFonts w:ascii="Arial;sans-serif" w:hAnsi="Arial;sans-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The offer and sale of all of the shares of our common stock in the IPO were registered under the Securities Act pursuant to a registration statement on Form S-1, as amended (File No. 333-260156), which was declared effective by the SEC on October 28, 2021. Cowen and Company, LLC, SVB Leerink LLC, Evercore Group L.L.C. and BTIG, LLC acted as underwriters for the IPO.</w:t>
      </w:r>
    </w:p>
    <w:p>
      <w:pPr>
        <w:pStyle w:val="TextBody"/>
        <w:bidi w:val="0"/>
        <w:spacing w:before="240" w:after="0"/>
        <w:jc w:val="both"/>
        <w:rPr>
          <w:rFonts w:ascii="Arial;sans-serif" w:hAnsi="Arial;sans-serif"/>
          <w:b w:val="false"/>
          <w:sz w:val="20"/>
        </w:rPr>
      </w:pPr>
      <w:r>
        <w:rPr>
          <w:rFonts w:ascii="Arial;sans-serif" w:hAnsi="Arial;sans-serif"/>
          <w:b w:val="false"/>
          <w:sz w:val="20"/>
        </w:rPr>
        <w:t>No expenses incurred by us in connection with the IPO were paid directly or indirectly to (i) any of our officers or directors or their associates, (ii) any persons owning 10% or more of any class of our equity securities, or (iii) any of our affiliates, other than payments in the ordinary course of business to officers for salaries and to non-employee directors as compensation for Board or Board committee service.</w:t>
      </w:r>
    </w:p>
    <w:p>
      <w:pPr>
        <w:pStyle w:val="TextBody"/>
        <w:bidi w:val="0"/>
        <w:spacing w:before="240" w:after="0"/>
        <w:jc w:val="both"/>
        <w:rPr>
          <w:rFonts w:ascii="Arial;sans-serif" w:hAnsi="Arial;sans-serif"/>
          <w:b w:val="false"/>
          <w:sz w:val="20"/>
        </w:rPr>
      </w:pPr>
      <w:r>
        <w:rPr>
          <w:rFonts w:ascii="Arial;sans-serif" w:hAnsi="Arial;sans-serif"/>
          <w:b w:val="false"/>
          <w:sz w:val="20"/>
        </w:rPr>
        <w:t>There has been no material change in the planned use of proceeds from the IPO from those disclosed in the IPO prospectus. We plan to invest the funds received in cash equivalents and other marketable securities in accordance with our investment policy.</w:t>
      </w:r>
    </w:p>
    <w:p>
      <w:pPr>
        <w:pStyle w:val="TextBody"/>
        <w:bidi w:val="0"/>
        <w:spacing w:before="240" w:after="0"/>
        <w:jc w:val="both"/>
        <w:rPr>
          <w:rFonts w:ascii="Arial;sans-serif" w:hAnsi="Arial;sans-serif"/>
          <w:b/>
          <w:sz w:val="20"/>
        </w:rPr>
      </w:pPr>
      <w:r>
        <w:rPr>
          <w:rFonts w:ascii="Arial;sans-serif" w:hAnsi="Arial;sans-serif"/>
          <w:b/>
          <w:sz w:val="20"/>
        </w:rPr>
        <w:t>(c) Issuer Purchases of Equity Securities</w:t>
      </w:r>
    </w:p>
    <w:p>
      <w:pPr>
        <w:pStyle w:val="TextBody"/>
        <w:bidi w:val="0"/>
        <w:spacing w:before="80" w:after="0"/>
        <w:jc w:val="both"/>
        <w:rPr>
          <w:rFonts w:ascii="Arial;sans-serif" w:hAnsi="Arial;sans-serif"/>
          <w:b w:val="false"/>
          <w:sz w:val="20"/>
        </w:rPr>
      </w:pPr>
      <w:r>
        <w:rPr>
          <w:rFonts w:ascii="Arial;sans-serif" w:hAnsi="Arial;sans-serif"/>
          <w:b w:val="false"/>
          <w:sz w:val="20"/>
        </w:rPr>
        <w:t>None.</w:t>
      </w:r>
    </w:p>
    <w:p>
      <w:pPr>
        <w:pStyle w:val="TextBody"/>
        <w:bidi w:val="0"/>
        <w:spacing w:before="240" w:after="0"/>
        <w:jc w:val="both"/>
        <w:rPr>
          <w:rFonts w:ascii="Arial;sans-serif" w:hAnsi="Arial;sans-serif"/>
          <w:b/>
          <w:sz w:val="20"/>
        </w:rPr>
      </w:pPr>
      <w:bookmarkStart w:id="19" w:name="item_3_defaults_upon_senior_securities"/>
      <w:bookmarkEnd w:id="19"/>
      <w:r>
        <w:rPr>
          <w:rFonts w:ascii="Arial;sans-serif" w:hAnsi="Arial;sans-serif"/>
          <w:b/>
          <w:sz w:val="20"/>
        </w:rPr>
        <w:t>Item 3. Defaults Upon Senior Securities.</w:t>
      </w:r>
    </w:p>
    <w:p>
      <w:pPr>
        <w:pStyle w:val="TextBody"/>
        <w:bidi w:val="0"/>
        <w:spacing w:before="80" w:after="0"/>
        <w:jc w:val="both"/>
        <w:rPr>
          <w:rFonts w:ascii="Arial;sans-serif" w:hAnsi="Arial;sans-serif"/>
          <w:b w:val="false"/>
          <w:sz w:val="20"/>
        </w:rPr>
      </w:pPr>
      <w:r>
        <w:rPr>
          <w:rFonts w:ascii="Arial;sans-serif" w:hAnsi="Arial;sans-serif"/>
          <w:b w:val="false"/>
          <w:sz w:val="20"/>
        </w:rPr>
        <w:t>Not applicable.</w:t>
      </w:r>
    </w:p>
    <w:p>
      <w:pPr>
        <w:pStyle w:val="TextBody"/>
        <w:bidi w:val="0"/>
        <w:spacing w:before="240" w:after="0"/>
        <w:jc w:val="both"/>
        <w:rPr>
          <w:rFonts w:ascii="Arial;sans-serif" w:hAnsi="Arial;sans-serif"/>
          <w:b/>
          <w:sz w:val="20"/>
        </w:rPr>
      </w:pPr>
      <w:bookmarkStart w:id="20" w:name="item_4_mine_safety_disclosures"/>
      <w:bookmarkEnd w:id="20"/>
      <w:r>
        <w:rPr>
          <w:rFonts w:ascii="Arial;sans-serif" w:hAnsi="Arial;sans-serif"/>
          <w:b/>
          <w:sz w:val="20"/>
        </w:rPr>
        <w:t>Item 4. Mine Safety Disclosures.</w:t>
      </w:r>
    </w:p>
    <w:p>
      <w:pPr>
        <w:pStyle w:val="TextBody"/>
        <w:bidi w:val="0"/>
        <w:spacing w:before="80" w:after="0"/>
        <w:jc w:val="both"/>
        <w:rPr>
          <w:rFonts w:ascii="Arial;sans-serif" w:hAnsi="Arial;sans-serif"/>
          <w:b w:val="false"/>
          <w:sz w:val="20"/>
        </w:rPr>
      </w:pPr>
      <w:r>
        <w:rPr>
          <w:rFonts w:ascii="Arial;sans-serif" w:hAnsi="Arial;sans-serif"/>
          <w:b w:val="false"/>
          <w:sz w:val="20"/>
        </w:rPr>
        <w:t>Not applicable.</w:t>
      </w:r>
    </w:p>
    <w:p>
      <w:pPr>
        <w:pStyle w:val="TextBody"/>
        <w:bidi w:val="0"/>
        <w:spacing w:before="240" w:after="0"/>
        <w:jc w:val="both"/>
        <w:rPr>
          <w:rFonts w:ascii="Arial;sans-serif" w:hAnsi="Arial;sans-serif"/>
          <w:b/>
          <w:sz w:val="20"/>
        </w:rPr>
      </w:pPr>
      <w:bookmarkStart w:id="21" w:name="item_5_other_information"/>
      <w:bookmarkEnd w:id="21"/>
      <w:r>
        <w:rPr>
          <w:rFonts w:ascii="Arial;sans-serif" w:hAnsi="Arial;sans-serif"/>
          <w:b/>
          <w:sz w:val="20"/>
        </w:rPr>
        <w:t>Item 5. Other Information.</w:t>
      </w:r>
    </w:p>
    <w:p>
      <w:pPr>
        <w:pStyle w:val="TextBody"/>
        <w:bidi w:val="0"/>
        <w:spacing w:before="80" w:after="0"/>
        <w:jc w:val="both"/>
        <w:rPr>
          <w:rFonts w:ascii="Arial;sans-serif" w:hAnsi="Arial;sans-serif"/>
          <w:b w:val="false"/>
          <w:sz w:val="20"/>
        </w:rPr>
      </w:pPr>
      <w:r>
        <w:rPr>
          <w:rFonts w:ascii="Arial;sans-serif" w:hAnsi="Arial;sans-serif"/>
          <w:b w:val="false"/>
          <w:sz w:val="20"/>
        </w:rPr>
        <w:t>None.</w:t>
      </w:r>
    </w:p>
    <w:p>
      <w:pPr>
        <w:pStyle w:val="TextBody"/>
        <w:bidi w:val="0"/>
        <w:spacing w:before="240" w:after="0"/>
        <w:jc w:val="center"/>
        <w:rPr>
          <w:rFonts w:ascii="Arial;sans-serif" w:hAnsi="Arial;sans-serif"/>
          <w:b w:val="false"/>
          <w:sz w:val="20"/>
        </w:rPr>
      </w:pPr>
      <w:r>
        <w:rPr>
          <w:rFonts w:ascii="Arial;sans-serif" w:hAnsi="Arial;sans-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sz w:val="20"/>
        </w:rPr>
      </w:pPr>
      <w:bookmarkStart w:id="22" w:name="item_6_exhibits"/>
      <w:bookmarkEnd w:id="22"/>
      <w:r>
        <w:rPr>
          <w:rFonts w:ascii="Arial;sans-serif" w:hAnsi="Arial;sans-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146"/>
        <w:gridCol w:w="9238"/>
      </w:tblGrid>
      <w:tr>
        <w:trPr/>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82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Exhibit</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8"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Description</w:t>
            </w:r>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Arial;sans-serif" w:hAnsi="Arial;sans-serif"/>
                  <w:b w:val="false"/>
                  <w:sz w:val="20"/>
                  <w:u w:val="single"/>
                </w:rPr>
                <w:t>Tenth Amended and Restated Certificate of Incorporation of Registrant, as currently in effect (incorporated by reference to Exhibit 3.1 of the Registrants’ Annual Report on Form 10-K (File No. 001-40971)).</w:t>
              </w:r>
            </w:hyperlink>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Arial;sans-serif" w:hAnsi="Arial;sans-serif"/>
                  <w:b w:val="false"/>
                  <w:sz w:val="20"/>
                  <w:u w:val="single"/>
                </w:rPr>
                <w:t>Amended and Restated Bylaws of Registrant, as currently in effect (incorporated by reference to Exhibit 3.2 of the Registrants’ Annual Report on Form 10-K (File No. 001-40971)).</w:t>
              </w:r>
            </w:hyperlink>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4.2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Arial;sans-serif" w:hAnsi="Arial;sans-serif"/>
                  <w:b w:val="false"/>
                  <w:sz w:val="20"/>
                  <w:u w:val="single"/>
                </w:rPr>
                <w:t>Fifth Amended and Restated Investors’ Rights Agreement (Incorporated by reference to Exhibit 4.2 to the Registrant’s Registration Statement on Form S-1, as amended (File No. 333-260156)).</w:t>
              </w:r>
            </w:hyperlink>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ura-ex31_1.htm">
              <w:r>
                <w:rPr>
                  <w:rStyle w:val="InternetLink"/>
                  <w:rFonts w:ascii="Arial;sans-serif" w:hAnsi="Arial;sans-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ura-ex31_2.htm">
              <w:r>
                <w:rPr>
                  <w:rStyle w:val="InternetLink"/>
                  <w:rFonts w:ascii="Arial;sans-serif" w:hAnsi="Arial;sans-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ura-ex32_1.htm">
              <w:r>
                <w:rPr>
                  <w:rStyle w:val="InternetLink"/>
                  <w:rFonts w:ascii="Arial;sans-serif" w:hAnsi="Arial;sans-serif"/>
                  <w:b w:val="false"/>
                  <w:sz w:val="20"/>
                  <w:u w:val="single"/>
                </w:rPr>
                <w:t>Certification of Principal Executive Officer and Principal Financial Officer Pursuant to 18 U.S.C. Section 1350, as Adopted Pursuant to Section 906 of the Sarbanes-Oxley Act of 2002.</w:t>
              </w:r>
            </w:hyperlink>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Instance Document – the instance document does not appear in the Interactive Data File because XBRL tags are embedded within the Inline XBRL document.</w:t>
            </w:r>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Schema Document</w:t>
            </w:r>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Calculation Linkbase Document</w:t>
            </w:r>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Definition Linkbase Document</w:t>
            </w:r>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Label Linkbase Document</w:t>
            </w:r>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Presentation Linkbase Document</w:t>
            </w:r>
          </w:p>
        </w:tc>
      </w:tr>
      <w:tr>
        <w:trPr/>
        <w:tc>
          <w:tcPr>
            <w:tcW w:w="82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Cover Page Interactive Data File (embedded within the Inline XBRL document)</w:t>
            </w:r>
          </w:p>
        </w:tc>
      </w:tr>
    </w:tbl>
    <w:p>
      <w:pPr>
        <w:pStyle w:val="TextBody"/>
        <w:pBdr>
          <w:bottom w:val="single" w:sz="4" w:space="1" w:color="000000"/>
        </w:pBdr>
        <w:bidi w:val="0"/>
        <w:spacing w:before="0" w:after="0"/>
        <w:jc w:val="left"/>
        <w:rPr/>
      </w:pPr>
      <w:r>
        <w:rPr/>
        <w:t> </w:t>
      </w:r>
    </w:p>
    <w:p>
      <w:pPr>
        <w:pStyle w:val="TextBody"/>
        <w:bidi w:val="0"/>
        <w:spacing w:before="60" w:after="0"/>
        <w:jc w:val="both"/>
        <w:rPr>
          <w:rFonts w:ascii="Arial;sans-serif" w:hAnsi="Arial;sans-serif"/>
          <w:b w:val="false"/>
          <w:sz w:val="20"/>
        </w:rPr>
      </w:pPr>
      <w:r>
        <w:rPr>
          <w:rFonts w:ascii="Arial;sans-serif" w:hAnsi="Arial;sans-serif"/>
          <w:b w:val="false"/>
          <w:sz w:val="20"/>
        </w:rPr>
        <w:t>* Filed herewith.</w:t>
      </w:r>
    </w:p>
    <w:p>
      <w:pPr>
        <w:pStyle w:val="TextBody"/>
        <w:bidi w:val="0"/>
        <w:spacing w:before="60" w:after="0"/>
        <w:jc w:val="both"/>
        <w:rPr>
          <w:rFonts w:ascii="Arial;sans-serif" w:hAnsi="Arial;sans-serif"/>
          <w:b w:val="false"/>
          <w:sz w:val="20"/>
        </w:rPr>
      </w:pPr>
      <w:r>
        <w:rPr>
          <w:rFonts w:ascii="Arial;sans-serif" w:hAnsi="Arial;sans-serif"/>
          <w:b w:val="false"/>
          <w:sz w:val="20"/>
        </w:rPr>
        <w:t># 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pStyle w:val="TextBody"/>
        <w:bidi w:val="0"/>
        <w:spacing w:before="240" w:after="0"/>
        <w:jc w:val="center"/>
        <w:rPr>
          <w:rFonts w:ascii="Arial;sans-serif" w:hAnsi="Arial;sans-serif"/>
          <w:b w:val="false"/>
          <w:sz w:val="20"/>
        </w:rPr>
      </w:pPr>
      <w:r>
        <w:rPr>
          <w:rFonts w:ascii="Arial;sans-serif" w:hAnsi="Arial;sans-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23" w:name="signatures"/>
      <w:bookmarkEnd w:id="23"/>
      <w:r>
        <w:rPr>
          <w:rFonts w:ascii="Arial;sans-serif" w:hAnsi="Arial;sans-serif"/>
          <w:b/>
          <w:sz w:val="20"/>
        </w:rPr>
        <w:t>SIGNATURES</w:t>
      </w:r>
    </w:p>
    <w:p>
      <w:pPr>
        <w:pStyle w:val="TextBody"/>
        <w:bidi w:val="0"/>
        <w:spacing w:before="240" w:after="0"/>
        <w:jc w:val="both"/>
        <w:rPr>
          <w:rFonts w:ascii="Arial;sans-serif" w:hAnsi="Arial;sans-serif"/>
          <w:b w:val="false"/>
          <w:sz w:val="20"/>
        </w:rPr>
      </w:pPr>
      <w:r>
        <w:rPr>
          <w:rFonts w:ascii="Arial;sans-serif" w:hAnsi="Arial;sans-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5999" w:type="dxa"/>
        <w:jc w:val="left"/>
        <w:tblInd w:w="0" w:type="dxa"/>
        <w:tblLayout w:type="fixed"/>
        <w:tblCellMar>
          <w:top w:w="28" w:type="dxa"/>
          <w:left w:w="28" w:type="dxa"/>
          <w:bottom w:w="28" w:type="dxa"/>
          <w:right w:w="28" w:type="dxa"/>
        </w:tblCellMar>
      </w:tblPr>
      <w:tblGrid>
        <w:gridCol w:w="1831"/>
        <w:gridCol w:w="146"/>
        <w:gridCol w:w="406"/>
        <w:gridCol w:w="36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2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Aura Biosciences, Inc.</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361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/s/ Elisabet de los Pinos</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Elisabet de los Pinos</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President and Chief Executive Officer</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3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/s/ Julie Feder</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Julie Feder</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Chief Financial Officer</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4" w:name="aura-ex31_1.htm"/>
      <w:bookmarkStart w:id="25" w:name="ksauraex31_1"/>
      <w:bookmarkEnd w:id="24"/>
      <w:bookmarkEnd w:id="25"/>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0" w:after="0"/>
        <w:jc w:val="center"/>
        <w:rPr>
          <w:rFonts w:ascii="Arial;sans-serif" w:hAnsi="Arial;sans-serif"/>
          <w:b/>
          <w:sz w:val="18"/>
        </w:rPr>
      </w:pPr>
      <w:r>
        <w:rPr>
          <w:rFonts w:ascii="Arial;sans-serif" w:hAnsi="Arial;sans-serif"/>
          <w:b/>
          <w:sz w:val="18"/>
        </w:rPr>
        <w:t>CERTIFICATION</w:t>
      </w:r>
    </w:p>
    <w:p>
      <w:pPr>
        <w:pStyle w:val="TextBody"/>
        <w:bidi w:val="0"/>
        <w:spacing w:before="240" w:after="0"/>
        <w:jc w:val="left"/>
        <w:rPr>
          <w:rFonts w:ascii="Arial;sans-serif" w:hAnsi="Arial;sans-serif"/>
          <w:b w:val="false"/>
          <w:sz w:val="18"/>
        </w:rPr>
      </w:pPr>
      <w:r>
        <w:rPr>
          <w:rFonts w:ascii="Arial;sans-serif" w:hAnsi="Arial;sans-serif"/>
          <w:b w:val="false"/>
          <w:sz w:val="18"/>
        </w:rPr>
        <w:t>I, Elisabet de los Pinos, certify that:</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1. I have reviewed this Quarterly Report on Form 10-Q of Aura Biosciences, Inc;</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(c)</w:t>
      </w:r>
      <w:r>
        <w:rPr>
          <w:rFonts w:ascii="Times New Roman" w:hAnsi="Times New Roman"/>
          <w:sz w:val="20"/>
        </w:rPr>
        <w:t xml:space="preserve"> </w:t>
      </w:r>
      <w:r>
        <w:rPr>
          <w:rFonts w:ascii="Arial;sans-serif" w:hAnsi="Arial;sans-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(d)</w:t>
      </w:r>
      <w:r>
        <w:rPr>
          <w:rFonts w:ascii="Times New Roman" w:hAnsi="Times New Roman"/>
          <w:sz w:val="20"/>
        </w:rPr>
        <w:t xml:space="preserve"> </w:t>
      </w:r>
      <w:r>
        <w:rPr>
          <w:rFonts w:ascii="Arial;sans-serif" w:hAnsi="Arial;sans-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5.</w:t>
      </w:r>
      <w:r>
        <w:rPr>
          <w:rFonts w:ascii="Times New Roman" w:hAnsi="Times New Roman"/>
          <w:sz w:val="20"/>
        </w:rPr>
        <w:t xml:space="preserve"> </w:t>
      </w:r>
      <w:r>
        <w:rPr>
          <w:rFonts w:ascii="Arial;sans-serif" w:hAnsi="Arial;sans-serif"/>
          <w:b w:val="false"/>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(a)</w:t>
      </w:r>
      <w:r>
        <w:rPr>
          <w:rFonts w:ascii="Times New Roman" w:hAnsi="Times New Roman"/>
          <w:sz w:val="20"/>
        </w:rPr>
        <w:t xml:space="preserve"> </w:t>
      </w:r>
      <w:r>
        <w:rPr>
          <w:rFonts w:ascii="Arial;sans-serif" w:hAnsi="Arial;sans-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(b)</w:t>
      </w:r>
      <w:r>
        <w:rPr>
          <w:rFonts w:ascii="Times New Roman" w:hAnsi="Times New Roman"/>
          <w:sz w:val="20"/>
        </w:rPr>
        <w:t xml:space="preserve"> </w:t>
      </w:r>
      <w:r>
        <w:rPr>
          <w:rFonts w:ascii="Arial;sans-serif" w:hAnsi="Arial;sans-serif"/>
          <w:b w:val="false"/>
          <w:sz w:val="18"/>
        </w:rPr>
        <w:t>Any fraud, whether or not material, that involves management or other employees who have a significant role in the registrant’s internal control over financial reporting.</w:t>
      </w:r>
    </w:p>
    <w:tbl>
      <w:tblPr>
        <w:tblW w:w="5539" w:type="dxa"/>
        <w:jc w:val="left"/>
        <w:tblInd w:w="0" w:type="dxa"/>
        <w:tblLayout w:type="fixed"/>
        <w:tblCellMar>
          <w:top w:w="28" w:type="dxa"/>
          <w:left w:w="28" w:type="dxa"/>
          <w:bottom w:w="28" w:type="dxa"/>
          <w:right w:w="28" w:type="dxa"/>
        </w:tblCellMar>
      </w:tblPr>
      <w:tblGrid>
        <w:gridCol w:w="556"/>
        <w:gridCol w:w="1246"/>
        <w:gridCol w:w="406"/>
        <w:gridCol w:w="333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3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Aura Biosciences, Inc.</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11, 2023</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Elisabet de los Pinos</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Elisabet de los Pinos</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President and Chief Executive Officer</w:t>
              <w:br/>
              <w:br/>
            </w:r>
            <w:r>
              <w:rPr>
                <w:rFonts w:ascii="Times New Roman" w:hAnsi="Times New Roman"/>
                <w:sz w:val="20"/>
              </w:rPr>
              <w:t> </w:t>
            </w:r>
          </w:p>
        </w:tc>
      </w:tr>
    </w:tbl>
    <w:p>
      <w:pPr>
        <w:pStyle w:val="TextBody"/>
        <w:bidi w:val="0"/>
        <w:spacing w:before="0" w:after="16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aura-ex31_2.htm"/>
      <w:bookmarkStart w:id="27" w:name="ksauraex31_2"/>
      <w:bookmarkEnd w:id="26"/>
      <w:bookmarkEnd w:id="27"/>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0" w:after="0"/>
        <w:jc w:val="center"/>
        <w:rPr>
          <w:rFonts w:ascii="Arial;sans-serif" w:hAnsi="Arial;sans-serif"/>
          <w:b/>
          <w:sz w:val="18"/>
        </w:rPr>
      </w:pPr>
      <w:r>
        <w:rPr>
          <w:rFonts w:ascii="Arial;sans-serif" w:hAnsi="Arial;sans-serif"/>
          <w:b/>
          <w:sz w:val="18"/>
        </w:rPr>
        <w:t>CERTIFICATION</w:t>
      </w:r>
    </w:p>
    <w:p>
      <w:pPr>
        <w:pStyle w:val="TextBody"/>
        <w:bidi w:val="0"/>
        <w:spacing w:before="240" w:after="0"/>
        <w:jc w:val="left"/>
        <w:rPr>
          <w:rFonts w:ascii="Arial;sans-serif" w:hAnsi="Arial;sans-serif"/>
          <w:b w:val="false"/>
          <w:sz w:val="18"/>
        </w:rPr>
      </w:pPr>
      <w:r>
        <w:rPr>
          <w:rFonts w:ascii="Arial;sans-serif" w:hAnsi="Arial;sans-serif"/>
          <w:b w:val="false"/>
          <w:sz w:val="18"/>
        </w:rPr>
        <w:t>I, Julie Feder, certify that:</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1. I have reviewed this Quarterly Report on Form 10-Q of Aura Biosciences, Inc;</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left"/>
        <w:rPr>
          <w:rFonts w:ascii="Arial;sans-serif" w:hAnsi="Arial;sans-serif"/>
          <w:b w:val="false"/>
          <w:sz w:val="18"/>
        </w:rPr>
      </w:pPr>
      <w:r>
        <w:rPr>
          <w:rFonts w:ascii="Arial;sans-serif" w:hAnsi="Arial;sans-serif"/>
          <w:b w:val="false"/>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(b)</w:t>
      </w:r>
      <w:r>
        <w:rPr>
          <w:rFonts w:ascii="Times New Roman" w:hAnsi="Times New Roman"/>
          <w:sz w:val="20"/>
        </w:rPr>
        <w:t xml:space="preserve"> </w:t>
      </w:r>
      <w:r>
        <w:rPr>
          <w:rFonts w:ascii="Arial;sans-serif" w:hAnsi="Arial;sans-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(c)</w:t>
      </w:r>
      <w:r>
        <w:rPr>
          <w:rFonts w:ascii="Times New Roman" w:hAnsi="Times New Roman"/>
          <w:sz w:val="20"/>
        </w:rPr>
        <w:t xml:space="preserve"> </w:t>
      </w:r>
      <w:r>
        <w:rPr>
          <w:rFonts w:ascii="Arial;sans-serif" w:hAnsi="Arial;sans-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(d)</w:t>
      </w:r>
      <w:r>
        <w:rPr>
          <w:rFonts w:ascii="Times New Roman" w:hAnsi="Times New Roman"/>
          <w:sz w:val="20"/>
        </w:rPr>
        <w:t xml:space="preserve"> </w:t>
      </w:r>
      <w:r>
        <w:rPr>
          <w:rFonts w:ascii="Arial;sans-serif" w:hAnsi="Arial;sans-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5.</w:t>
      </w:r>
      <w:r>
        <w:rPr>
          <w:rFonts w:ascii="Times New Roman" w:hAnsi="Times New Roman"/>
          <w:sz w:val="20"/>
        </w:rPr>
        <w:t xml:space="preserve"> </w:t>
      </w:r>
      <w:r>
        <w:rPr>
          <w:rFonts w:ascii="Arial;sans-serif" w:hAnsi="Arial;sans-serif"/>
          <w:b w:val="false"/>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(a)</w:t>
      </w:r>
      <w:r>
        <w:rPr>
          <w:rFonts w:ascii="Times New Roman" w:hAnsi="Times New Roman"/>
          <w:sz w:val="20"/>
        </w:rPr>
        <w:t xml:space="preserve"> </w:t>
      </w:r>
      <w:r>
        <w:rPr>
          <w:rFonts w:ascii="Arial;sans-serif" w:hAnsi="Arial;sans-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18"/>
        </w:rPr>
        <w:t>(b)</w:t>
      </w:r>
      <w:r>
        <w:rPr>
          <w:rFonts w:ascii="Times New Roman" w:hAnsi="Times New Roman"/>
          <w:sz w:val="20"/>
        </w:rPr>
        <w:t xml:space="preserve"> </w:t>
      </w:r>
      <w:r>
        <w:rPr>
          <w:rFonts w:ascii="Arial;sans-serif" w:hAnsi="Arial;sans-serif"/>
          <w:b w:val="false"/>
          <w:sz w:val="18"/>
        </w:rPr>
        <w:t>Any fraud, whether or not material, that involves management or other employees who have a significant role in the registrant’s internal control over financial reporting.</w:t>
      </w:r>
    </w:p>
    <w:tbl>
      <w:tblPr>
        <w:tblW w:w="4369" w:type="dxa"/>
        <w:jc w:val="left"/>
        <w:tblInd w:w="0" w:type="dxa"/>
        <w:tblLayout w:type="fixed"/>
        <w:tblCellMar>
          <w:top w:w="28" w:type="dxa"/>
          <w:left w:w="28" w:type="dxa"/>
          <w:bottom w:w="28" w:type="dxa"/>
          <w:right w:w="28" w:type="dxa"/>
        </w:tblCellMar>
      </w:tblPr>
      <w:tblGrid>
        <w:gridCol w:w="556"/>
        <w:gridCol w:w="1306"/>
        <w:gridCol w:w="406"/>
        <w:gridCol w:w="2101"/>
      </w:tblGrid>
      <w:tr>
        <w:trPr/>
        <w:tc>
          <w:tcPr>
            <w:tcW w:w="55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Aura Biosciences, Inc.</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3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May 11, 2023</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Julie Feder</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Julie Feder</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Financial Officer</w:t>
              <w:br/>
              <w:br/>
            </w:r>
            <w:r>
              <w:rPr>
                <w:rFonts w:ascii="Times New Roman" w:hAnsi="Times New Roman"/>
                <w:sz w:val="20"/>
              </w:rPr>
              <w:t> </w:t>
            </w:r>
          </w:p>
        </w:tc>
      </w:tr>
    </w:tbl>
    <w:p>
      <w:pPr>
        <w:pStyle w:val="TextBody"/>
        <w:bidi w:val="0"/>
        <w:spacing w:before="0" w:after="16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aura-ex32_1.htm"/>
      <w:bookmarkStart w:id="29" w:name="ksauraex32_1"/>
      <w:bookmarkEnd w:id="28"/>
      <w:bookmarkEnd w:id="2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Arial;sans-serif" w:hAnsi="Arial;sans-serif"/>
          <w:b/>
          <w:sz w:val="20"/>
        </w:rPr>
      </w:pPr>
      <w:r>
        <w:rPr>
          <w:rFonts w:ascii="Arial;sans-serif" w:hAnsi="Arial;sans-serif"/>
          <w:b/>
          <w:sz w:val="20"/>
        </w:rPr>
        <w:t>CERTIFICATION PURSUANT TO</w:t>
      </w:r>
    </w:p>
    <w:p>
      <w:pPr>
        <w:pStyle w:val="TextBody"/>
        <w:bidi w:val="0"/>
        <w:spacing w:before="0" w:after="0"/>
        <w:jc w:val="center"/>
        <w:rPr>
          <w:rFonts w:ascii="Arial;sans-serif" w:hAnsi="Arial;sans-serif"/>
          <w:b/>
          <w:sz w:val="20"/>
        </w:rPr>
      </w:pPr>
      <w:r>
        <w:rPr>
          <w:rFonts w:ascii="Arial;sans-serif" w:hAnsi="Arial;sans-serif"/>
          <w:b/>
          <w:sz w:val="20"/>
        </w:rPr>
        <w:t>18 U.S.C. SECTION 1350, AS ADOPTED PURSUANT TO</w:t>
      </w:r>
    </w:p>
    <w:p>
      <w:pPr>
        <w:pStyle w:val="TextBody"/>
        <w:bidi w:val="0"/>
        <w:spacing w:before="0" w:after="0"/>
        <w:jc w:val="center"/>
        <w:rPr>
          <w:rFonts w:ascii="Arial;sans-serif" w:hAnsi="Arial;sans-serif"/>
          <w:b/>
          <w:sz w:val="20"/>
        </w:rPr>
      </w:pPr>
      <w:r>
        <w:rPr>
          <w:rFonts w:ascii="Arial;sans-serif" w:hAnsi="Arial;sans-serif"/>
          <w:b/>
          <w:sz w:val="20"/>
        </w:rPr>
        <w:t>SECTION 906 OF THE SARBANES-OXLEY ACT OF 2002</w:t>
      </w:r>
    </w:p>
    <w:p>
      <w:pPr>
        <w:pStyle w:val="TextBody"/>
        <w:bidi w:val="0"/>
        <w:spacing w:before="240" w:after="0"/>
        <w:jc w:val="left"/>
        <w:rPr>
          <w:rFonts w:ascii="Arial;sans-serif" w:hAnsi="Arial;sans-serif"/>
          <w:b w:val="false"/>
          <w:sz w:val="20"/>
        </w:rPr>
      </w:pPr>
      <w:r>
        <w:rPr>
          <w:rFonts w:ascii="Arial;sans-serif" w:hAnsi="Arial;sans-serif"/>
          <w:b w:val="false"/>
          <w:sz w:val="20"/>
        </w:rPr>
        <w:t>In connection with the Quarterly Report on Form 10-Q of Aura Biosciences, Inc. (the “Company”) for the period ended March 31, 2023 as filed with the Securities and Exchange Commission on the date hereof (the “Report”), each of the undersigned certifies, pursuant to 18 U.S.C. §1350, as adopted pursuant to §906 of the Sarbanes-Oxley Act of 2002, that, to the best of her knowledge:</w:t>
      </w:r>
    </w:p>
    <w:p>
      <w:pPr>
        <w:pStyle w:val="TextBody"/>
        <w:bidi w:val="0"/>
        <w:spacing w:before="240" w:after="0"/>
        <w:jc w:val="left"/>
        <w:rPr/>
      </w:pPr>
      <w:r>
        <w:rPr/>
        <w:t> </w:t>
      </w:r>
    </w:p>
    <w:p>
      <w:pPr>
        <w:pStyle w:val="TextBody"/>
        <w:bidi w:val="0"/>
        <w:spacing w:before="0" w:after="0"/>
        <w:jc w:val="left"/>
        <w:rPr>
          <w:rFonts w:ascii="Arial" w:hAnsi="Arial"/>
          <w:b w:val="false"/>
          <w:sz w:val="20"/>
        </w:rPr>
      </w:pPr>
      <w:r>
        <w:rPr>
          <w:rFonts w:ascii="Arial" w:hAnsi="Arial"/>
          <w:b w:val="false"/>
          <w:sz w:val="20"/>
        </w:rPr>
        <w:t>(1)</w:t>
      </w:r>
    </w:p>
    <w:p>
      <w:pPr>
        <w:pStyle w:val="TextBody"/>
        <w:bidi w:val="0"/>
        <w:jc w:val="left"/>
        <w:rPr>
          <w:rFonts w:ascii="Arial;sans-serif" w:hAnsi="Arial;sans-serif"/>
          <w:b w:val="false"/>
          <w:sz w:val="20"/>
        </w:rPr>
      </w:pPr>
      <w:r>
        <w:rPr>
          <w:rFonts w:ascii="Arial;sans-serif" w:hAnsi="Arial;sans-serif"/>
          <w:b w:val="false"/>
          <w:sz w:val="20"/>
        </w:rPr>
        <w:t>The Report fully complies with the requirements of section 13(a) or 15(d) of the Securities Exchange Act of 1934, as amended; and</w:t>
      </w:r>
    </w:p>
    <w:p>
      <w:pPr>
        <w:pStyle w:val="TextBody"/>
        <w:bidi w:val="0"/>
        <w:spacing w:before="0" w:after="0"/>
        <w:jc w:val="left"/>
        <w:rPr/>
      </w:pPr>
      <w:r>
        <w:rPr/>
        <w:t> </w:t>
      </w:r>
    </w:p>
    <w:p>
      <w:pPr>
        <w:pStyle w:val="TextBody"/>
        <w:bidi w:val="0"/>
        <w:spacing w:before="0" w:after="0"/>
        <w:jc w:val="left"/>
        <w:rPr>
          <w:rFonts w:ascii="Arial" w:hAnsi="Arial"/>
          <w:b w:val="false"/>
          <w:sz w:val="20"/>
        </w:rPr>
      </w:pPr>
      <w:r>
        <w:rPr>
          <w:rFonts w:ascii="Arial" w:hAnsi="Arial"/>
          <w:b w:val="false"/>
          <w:sz w:val="20"/>
        </w:rPr>
        <w:t>(2)</w:t>
      </w:r>
    </w:p>
    <w:p>
      <w:pPr>
        <w:pStyle w:val="TextBody"/>
        <w:bidi w:val="0"/>
        <w:jc w:val="left"/>
        <w:rPr>
          <w:rFonts w:ascii="Arial;sans-serif" w:hAnsi="Arial;sans-serif"/>
          <w:b w:val="false"/>
          <w:sz w:val="20"/>
        </w:rPr>
      </w:pPr>
      <w:r>
        <w:rPr>
          <w:rFonts w:ascii="Arial;sans-serif" w:hAnsi="Arial;sans-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599" w:type="dxa"/>
        <w:jc w:val="left"/>
        <w:tblInd w:w="0" w:type="dxa"/>
        <w:tblLayout w:type="fixed"/>
        <w:tblCellMar>
          <w:top w:w="28" w:type="dxa"/>
          <w:left w:w="28" w:type="dxa"/>
          <w:bottom w:w="28" w:type="dxa"/>
          <w:right w:w="28" w:type="dxa"/>
        </w:tblCellMar>
      </w:tblPr>
      <w:tblGrid>
        <w:gridCol w:w="556"/>
        <w:gridCol w:w="1306"/>
        <w:gridCol w:w="406"/>
        <w:gridCol w:w="3331"/>
      </w:tblGrid>
      <w:tr>
        <w:trPr/>
        <w:tc>
          <w:tcPr>
            <w:tcW w:w="55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3737"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Aura Biosciences, Inc.</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30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May 11,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Elisabet de los Pinos</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Elisabet de los Pinos</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3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President and Chief Executive Officer</w:t>
              <w:br/>
            </w:r>
            <w:r>
              <w:rPr>
                <w:rFonts w:ascii="Times New Roman" w:hAnsi="Times New Roman"/>
                <w:sz w:val="20"/>
              </w:rPr>
              <w:t> </w:t>
            </w:r>
          </w:p>
        </w:tc>
      </w:tr>
      <w:tr>
        <w:trPr/>
        <w:tc>
          <w:tcPr>
            <w:tcW w:w="55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331" w:type="dxa"/>
            <w:tcBorders/>
            <w:vAlign w:val="center"/>
          </w:tcPr>
          <w:p>
            <w:pPr>
              <w:pStyle w:val="TableContents"/>
              <w:bidi w:val="0"/>
              <w:spacing w:before="0" w:after="0"/>
              <w:ind w:left="0" w:right="0" w:hanging="0"/>
              <w:jc w:val="center"/>
              <w:rPr/>
            </w:pPr>
            <w:r>
              <w:rPr/>
              <w:t> </w:t>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30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May 11,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Julie Feder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Julie Feder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Financial Officer</w:t>
              <w:br/>
            </w:r>
            <w:r>
              <w:rPr>
                <w:rFonts w:ascii="Times New Roman" w:hAnsi="Times New Roman"/>
                <w:sz w:val="20"/>
              </w:rPr>
              <w:t> </w:t>
            </w:r>
          </w:p>
        </w:tc>
      </w:tr>
    </w:tbl>
    <w:p>
      <w:pPr>
        <w:pStyle w:val="TextBody"/>
        <w:bidi w:val="0"/>
        <w:spacing w:before="0" w:after="16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1796/000095017022004425/aura-ex3_1.htm" TargetMode="External"/><Relationship Id="rId3" Type="http://schemas.openxmlformats.org/officeDocument/2006/relationships/hyperlink" Target="https://www.sec.gov/Archives/edgar/data/1501796/000095017022004425/aura-ex3_2.htm" TargetMode="External"/><Relationship Id="rId4" Type="http://schemas.openxmlformats.org/officeDocument/2006/relationships/hyperlink" Target="https://www.sec.gov/Archives/edgar/data/1501796/000119312521295543/d209588dex4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52246</Words>
  <Characters>289796</Characters>
  <CharactersWithSpaces>342254</CharactersWithSpaces>
  <Paragraphs>4219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