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media/image5.gif" ContentType="image/gif"/>
  <Override PartName="/word/media/image6.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aura-20260417.htm"/>
        <w:bookmarkStart w:id="1" w:name="ksaura20260417"/>
        <w:bookmarkEnd w:id="0"/>
        <w:bookmarkEnd w:id="1"/>
        <w:r>
          <w:rPr>
            <w:rStyle w:val="InternetLink"/>
            <w:rFonts w:ascii="Times New Roman" w:hAnsi="Times New Roman"/>
            <w:b/>
            <w:color w:val="0000FF"/>
            <w:sz w:val="20"/>
            <w:u w:val="single"/>
          </w:rPr>
          <w:t>Table of Contents</w:t>
        </w:r>
      </w:hyperlink>
      <w:r>
        <mc:AlternateContent>
          <mc:Choice Requires="wps">
            <w:drawing>
              <wp:anchor behindDoc="0" distT="0" distB="0" distL="0" distR="0" simplePos="0" locked="0" layoutInCell="1" allowOverlap="1" relativeHeight="2">
                <wp:simplePos x="0" y="0"/>
                <wp:positionH relativeFrom="page">
                  <wp:posOffset>-23495</wp:posOffset>
                </wp:positionH>
                <wp:positionV relativeFrom="page">
                  <wp:posOffset>4648200</wp:posOffset>
                </wp:positionV>
                <wp:extent cx="7560310" cy="5784215"/>
                <wp:effectExtent l="0" t="0" r="0" b="0"/>
                <wp:wrapNone/>
                <wp:docPr id="1" name="Frame4"/>
                <a:graphic xmlns:a="http://schemas.openxmlformats.org/drawingml/2006/main">
                  <a:graphicData uri="http://schemas.microsoft.com/office/word/2010/wordprocessingShape">
                    <wps:wsp>
                      <wps:cNvSpPr txBox="1"/>
                      <wps:spPr>
                        <a:xfrm>
                          <a:off x="0" y="0"/>
                          <a:ext cx="7560310" cy="5784215"/>
                        </a:xfrm>
                        <a:prstGeom prst="rect"/>
                        <a:solidFill>
                          <a:srgbClr val="FFFFFF"/>
                        </a:solidFill>
                      </wps:spPr>
                      <wps:txbx>
                        <w:txbxContent>
                          <w:p>
                            <w:pPr>
                              <w:pStyle w:val="TextBody"/>
                              <w:bidi w:val="0"/>
                              <w:jc w:val="center"/>
                              <w:rPr/>
                            </w:pPr>
                            <w:r>
                              <w:rPr/>
                              <w:t> </w:t>
                            </w:r>
                          </w:p>
                          <w:p>
                            <w:pPr>
                              <w:pStyle w:val="TextBody"/>
                              <w:bidi w:val="0"/>
                              <w:spacing w:before="0" w:after="283"/>
                              <w:jc w:val="center"/>
                              <w:rPr/>
                            </w:pPr>
                            <w:r>
                              <w:rPr/>
                              <w:drawing>
                                <wp:inline distT="0" distB="0" distL="0" distR="0">
                                  <wp:extent cx="7772400" cy="5429250"/>
                                  <wp:effectExtent l="0" t="0" r="0" b="0"/>
                                  <wp:docPr id="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 descr=""/>
                                          <pic:cNvPicPr>
                                            <a:picLocks noChangeAspect="1" noChangeArrowheads="1"/>
                                          </pic:cNvPicPr>
                                        </pic:nvPicPr>
                                        <pic:blipFill>
                                          <a:blip r:embed="rId2"/>
                                          <a:stretch>
                                            <a:fillRect/>
                                          </a:stretch>
                                        </pic:blipFill>
                                        <pic:spPr bwMode="auto">
                                          <a:xfrm>
                                            <a:off x="0" y="0"/>
                                            <a:ext cx="7772400" cy="54292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455.45pt;mso-wrap-distance-left:0pt;mso-wrap-distance-right:0pt;mso-wrap-distance-top:0pt;mso-wrap-distance-bottom:0pt;margin-top:366pt;mso-position-vertical-relative:page;margin-left:-1.85pt;mso-position-horizontal-relative:page">
                <v:textbox inset="0in,0in,0in,0in">
                  <w:txbxContent>
                    <w:p>
                      <w:pPr>
                        <w:pStyle w:val="TextBody"/>
                        <w:bidi w:val="0"/>
                        <w:jc w:val="center"/>
                        <w:rPr/>
                      </w:pPr>
                      <w:r>
                        <w:rPr/>
                        <w:t> </w:t>
                      </w:r>
                    </w:p>
                    <w:p>
                      <w:pPr>
                        <w:pStyle w:val="TextBody"/>
                        <w:bidi w:val="0"/>
                        <w:spacing w:before="0" w:after="283"/>
                        <w:jc w:val="center"/>
                        <w:rPr/>
                      </w:pPr>
                      <w:r>
                        <w:rPr/>
                        <w:drawing>
                          <wp:inline distT="0" distB="0" distL="0" distR="0">
                            <wp:extent cx="7772400" cy="5429250"/>
                            <wp:effectExtent l="0" t="0" r="0" b="0"/>
                            <wp:docPr id="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7" descr=""/>
                                    <pic:cNvPicPr>
                                      <a:picLocks noChangeAspect="1" noChangeArrowheads="1"/>
                                    </pic:cNvPicPr>
                                  </pic:nvPicPr>
                                  <pic:blipFill>
                                    <a:blip r:embed="rId3"/>
                                    <a:stretch>
                                      <a:fillRect/>
                                    </a:stretch>
                                  </pic:blipFill>
                                  <pic:spPr bwMode="auto">
                                    <a:xfrm>
                                      <a:off x="0" y="0"/>
                                      <a:ext cx="7772400" cy="54292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389255</wp:posOffset>
                </wp:positionH>
                <wp:positionV relativeFrom="page">
                  <wp:posOffset>4648200</wp:posOffset>
                </wp:positionV>
                <wp:extent cx="7015480" cy="7861935"/>
                <wp:effectExtent l="0" t="0" r="0" b="0"/>
                <wp:wrapNone/>
                <wp:docPr id="4" name="Frame3"/>
                <a:graphic xmlns:a="http://schemas.openxmlformats.org/drawingml/2006/main">
                  <a:graphicData uri="http://schemas.microsoft.com/office/word/2010/wordprocessingShape">
                    <wps:wsp>
                      <wps:cNvSpPr txBox="1"/>
                      <wps:spPr>
                        <a:xfrm>
                          <a:off x="0" y="0"/>
                          <a:ext cx="7015480" cy="7861935"/>
                        </a:xfrm>
                        <a:prstGeom prst="rect"/>
                        <a:solidFill>
                          <a:srgbClr val="FFFFFF"/>
                        </a:solidFill>
                      </wps:spPr>
                      <wps:txbx>
                        <w:txbxContent>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0" w:after="60"/>
                              <w:jc w:val="right"/>
                              <w:rPr>
                                <w:rFonts w:ascii="sans-serif" w:hAnsi="sans-serif"/>
                                <w:color w:val="363435"/>
                                <w:sz w:val="14"/>
                              </w:rPr>
                            </w:pPr>
                            <w:r>
                              <w:rPr>
                                <w:rFonts w:ascii="sans-serif" w:hAnsi="sans-serif"/>
                                <w:color w:val="363435"/>
                                <w:sz w:val="14"/>
                              </w:rPr>
                              <w:t>V93403-P47526</w:t>
                            </w:r>
                          </w:p>
                          <w:p>
                            <w:pPr>
                              <w:pStyle w:val="TextBody"/>
                              <w:bidi w:val="0"/>
                              <w:spacing w:before="0" w:after="60"/>
                              <w:jc w:val="righ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jc w:val="center"/>
                              <w:rPr>
                                <w:rFonts w:ascii="sans-serif" w:hAnsi="sans-serif"/>
                                <w:b/>
                                <w:color w:val="363435"/>
                                <w:sz w:val="24"/>
                              </w:rPr>
                            </w:pPr>
                            <w:r>
                              <w:rPr>
                                <w:rFonts w:ascii="sans-serif" w:hAnsi="sans-serif"/>
                                <w:b/>
                                <w:color w:val="363435"/>
                                <w:sz w:val="24"/>
                              </w:rPr>
                              <w:t>AURA BIOSCIENCES, INC.</w:t>
                            </w:r>
                          </w:p>
                          <w:p>
                            <w:pPr>
                              <w:pStyle w:val="TextBody"/>
                              <w:bidi w:val="0"/>
                              <w:jc w:val="center"/>
                              <w:rPr>
                                <w:rFonts w:ascii="sans-serif" w:hAnsi="sans-serif"/>
                                <w:b/>
                                <w:color w:val="363435"/>
                                <w:sz w:val="24"/>
                              </w:rPr>
                            </w:pPr>
                            <w:r>
                              <w:rPr>
                                <w:rFonts w:ascii="sans-serif" w:hAnsi="sans-serif"/>
                                <w:b/>
                                <w:color w:val="363435"/>
                                <w:sz w:val="24"/>
                              </w:rPr>
                              <w:t>Annual Meeting of Stockholders</w:t>
                            </w:r>
                          </w:p>
                          <w:p>
                            <w:pPr>
                              <w:pStyle w:val="TextBody"/>
                              <w:bidi w:val="0"/>
                              <w:jc w:val="center"/>
                              <w:rPr>
                                <w:rFonts w:ascii="sans-serif" w:hAnsi="sans-serif"/>
                                <w:b/>
                                <w:color w:val="363435"/>
                                <w:sz w:val="24"/>
                              </w:rPr>
                            </w:pPr>
                            <w:r>
                              <w:rPr>
                                <w:rFonts w:ascii="sans-serif" w:hAnsi="sans-serif"/>
                                <w:b/>
                                <w:color w:val="363435"/>
                                <w:sz w:val="24"/>
                              </w:rPr>
                              <w:t>June 11, 2026 9:30 AM, Eastern Time</w:t>
                            </w:r>
                          </w:p>
                          <w:p>
                            <w:pPr>
                              <w:pStyle w:val="TextBody"/>
                              <w:bidi w:val="0"/>
                              <w:jc w:val="center"/>
                              <w:rPr>
                                <w:rFonts w:ascii="sans-serif" w:hAnsi="sans-serif"/>
                                <w:b/>
                                <w:color w:val="363435"/>
                                <w:sz w:val="24"/>
                              </w:rPr>
                            </w:pPr>
                            <w:r>
                              <w:rPr>
                                <w:rFonts w:ascii="sans-serif" w:hAnsi="sans-serif"/>
                                <w:b/>
                                <w:color w:val="363435"/>
                                <w:sz w:val="24"/>
                              </w:rPr>
                              <w:t>This proxy is solicited by the Board of Directors</w:t>
                            </w:r>
                          </w:p>
                          <w:p>
                            <w:pPr>
                              <w:pStyle w:val="TextBody"/>
                              <w:bidi w:val="0"/>
                              <w:spacing w:before="240" w:after="283"/>
                              <w:ind w:left="72" w:right="72" w:hanging="0"/>
                              <w:jc w:val="both"/>
                              <w:rPr>
                                <w:rFonts w:ascii="sans-serif" w:hAnsi="sans-serif"/>
                                <w:color w:val="363435"/>
                                <w:sz w:val="20"/>
                              </w:rPr>
                            </w:pPr>
                            <w:r>
                              <w:rPr>
                                <w:rFonts w:ascii="sans-serif" w:hAnsi="sans-serif"/>
                                <w:color w:val="363435"/>
                                <w:sz w:val="20"/>
                              </w:rPr>
                              <w:t>The stockholder(s) hereby appoint(s) Elisabet de los Pinos, Ph.D. and Conor Kilroy, or either of them, as proxies, each with the power to appoint their substitute, and hereby authorize(s) them to represent and to vote, as designated on the reverse side of this ballot, all of the shares of Common Stock of AURA BIOSCIENCES, INC. that the stockholder(s) is/are entitled to vote at the Annual Meeting of Stockholders to be held at 9:30 AM, Eastern Time on June 11, 2026, at www.virtualshareholdermeeting.com/AURA2026, and any adjournment or postponement thereof. Receipt of the Notice of the 2026 Annual Meeting of the Stockholders, Proxy Statement and 2025 Annual Report is hereby acknowledged.</w:t>
                            </w:r>
                          </w:p>
                          <w:p>
                            <w:pPr>
                              <w:pStyle w:val="TextBody"/>
                              <w:bidi w:val="0"/>
                              <w:spacing w:before="240" w:after="283"/>
                              <w:ind w:left="72" w:right="72" w:hanging="0"/>
                              <w:jc w:val="both"/>
                              <w:rPr>
                                <w:rFonts w:ascii="sans-serif" w:hAnsi="sans-serif"/>
                                <w:b/>
                                <w:color w:val="363435"/>
                                <w:sz w:val="20"/>
                              </w:rPr>
                            </w:pPr>
                            <w:r>
                              <w:rPr>
                                <w:rFonts w:ascii="sans-serif" w:hAnsi="sans-serif"/>
                                <w:b/>
                                <w:color w:val="363435"/>
                                <w:sz w:val="20"/>
                              </w:rPr>
                              <w:t>This proxy, when properly executed, will be voted in the manner directed herein. If no such direction is made, this proxy will be voted in accordance with the Board of Directors’ recommendations.</w:t>
                            </w:r>
                          </w:p>
                          <w:p>
                            <w:pPr>
                              <w:pStyle w:val="TextBody"/>
                              <w:bidi w:val="0"/>
                              <w:spacing w:before="240" w:after="283"/>
                              <w:ind w:left="72" w:right="72" w:hanging="0"/>
                              <w:jc w:val="both"/>
                              <w:rPr/>
                            </w:pPr>
                            <w:r>
                              <w:rPr/>
                              <w:t> </w:t>
                            </w:r>
                          </w:p>
                          <w:p>
                            <w:pPr>
                              <w:pStyle w:val="TextBody"/>
                              <w:bidi w:val="0"/>
                              <w:spacing w:before="240" w:after="283"/>
                              <w:ind w:left="72" w:right="72" w:hanging="0"/>
                              <w:jc w:val="both"/>
                              <w:rPr/>
                            </w:pPr>
                            <w:r>
                              <w:rPr/>
                              <w:t> </w:t>
                            </w:r>
                          </w:p>
                          <w:p>
                            <w:pPr>
                              <w:pStyle w:val="TextBody"/>
                              <w:bidi w:val="0"/>
                              <w:spacing w:before="240" w:after="283"/>
                              <w:ind w:left="72" w:right="72" w:hanging="0"/>
                              <w:jc w:val="both"/>
                              <w:rPr/>
                            </w:pPr>
                            <w:r>
                              <w:rPr/>
                              <w:t> </w:t>
                            </w:r>
                          </w:p>
                          <w:p>
                            <w:pPr>
                              <w:pStyle w:val="TextBody"/>
                              <w:bidi w:val="0"/>
                              <w:spacing w:before="240" w:after="283"/>
                              <w:ind w:left="72" w:right="72" w:hanging="0"/>
                              <w:jc w:val="center"/>
                              <w:rPr>
                                <w:rFonts w:ascii="sans-serif" w:hAnsi="sans-serif"/>
                                <w:b/>
                                <w:color w:val="363435"/>
                                <w:sz w:val="20"/>
                              </w:rPr>
                            </w:pPr>
                            <w:r>
                              <w:rPr>
                                <w:rFonts w:ascii="sans-serif" w:hAnsi="sans-serif"/>
                                <w:b/>
                                <w:color w:val="363435"/>
                                <w:sz w:val="20"/>
                              </w:rPr>
                              <w:t>Continued and to be signed on reverse side</w:t>
                            </w:r>
                          </w:p>
                          <w:p>
                            <w:pPr>
                              <w:pStyle w:val="TextBody"/>
                              <w:bidi w:val="0"/>
                              <w:spacing w:before="40" w:after="60"/>
                              <w:jc w:val="left"/>
                              <w:rPr/>
                            </w:pPr>
                            <w:r>
                              <w:rPr/>
                              <w:t> </w:t>
                            </w:r>
                          </w:p>
                        </w:txbxContent>
                      </wps:txbx>
                      <wps:bodyPr anchor="t" lIns="0" tIns="0" rIns="0" bIns="0">
                        <a:noAutofit/>
                      </wps:bodyPr>
                    </wps:wsp>
                  </a:graphicData>
                </a:graphic>
              </wp:anchor>
            </w:drawing>
          </mc:Choice>
          <mc:Fallback>
            <w:pict>
              <v:rect style="position:absolute;rotation:-0;width:552.4pt;height:619.05pt;mso-wrap-distance-left:0pt;mso-wrap-distance-right:0pt;mso-wrap-distance-top:0pt;mso-wrap-distance-bottom:0pt;margin-top:366pt;mso-position-vertical-relative:page;margin-left:30.65pt;mso-position-horizontal-relative:page">
                <v:textbox inset="0in,0in,0in,0in">
                  <w:txbxContent>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0" w:after="60"/>
                        <w:jc w:val="right"/>
                        <w:rPr>
                          <w:rFonts w:ascii="sans-serif" w:hAnsi="sans-serif"/>
                          <w:color w:val="363435"/>
                          <w:sz w:val="14"/>
                        </w:rPr>
                      </w:pPr>
                      <w:r>
                        <w:rPr>
                          <w:rFonts w:ascii="sans-serif" w:hAnsi="sans-serif"/>
                          <w:color w:val="363435"/>
                          <w:sz w:val="14"/>
                        </w:rPr>
                        <w:t>V93403-P47526</w:t>
                      </w:r>
                    </w:p>
                    <w:p>
                      <w:pPr>
                        <w:pStyle w:val="TextBody"/>
                        <w:bidi w:val="0"/>
                        <w:spacing w:before="0" w:after="60"/>
                        <w:jc w:val="righ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pPr>
                      <w:r>
                        <w:rPr/>
                        <w:t> </w:t>
                      </w:r>
                    </w:p>
                    <w:p>
                      <w:pPr>
                        <w:pStyle w:val="TextBody"/>
                        <w:bidi w:val="0"/>
                        <w:jc w:val="center"/>
                        <w:rPr>
                          <w:rFonts w:ascii="sans-serif" w:hAnsi="sans-serif"/>
                          <w:b/>
                          <w:color w:val="363435"/>
                          <w:sz w:val="24"/>
                        </w:rPr>
                      </w:pPr>
                      <w:r>
                        <w:rPr>
                          <w:rFonts w:ascii="sans-serif" w:hAnsi="sans-serif"/>
                          <w:b/>
                          <w:color w:val="363435"/>
                          <w:sz w:val="24"/>
                        </w:rPr>
                        <w:t>AURA BIOSCIENCES, INC.</w:t>
                      </w:r>
                    </w:p>
                    <w:p>
                      <w:pPr>
                        <w:pStyle w:val="TextBody"/>
                        <w:bidi w:val="0"/>
                        <w:jc w:val="center"/>
                        <w:rPr>
                          <w:rFonts w:ascii="sans-serif" w:hAnsi="sans-serif"/>
                          <w:b/>
                          <w:color w:val="363435"/>
                          <w:sz w:val="24"/>
                        </w:rPr>
                      </w:pPr>
                      <w:r>
                        <w:rPr>
                          <w:rFonts w:ascii="sans-serif" w:hAnsi="sans-serif"/>
                          <w:b/>
                          <w:color w:val="363435"/>
                          <w:sz w:val="24"/>
                        </w:rPr>
                        <w:t>Annual Meeting of Stockholders</w:t>
                      </w:r>
                    </w:p>
                    <w:p>
                      <w:pPr>
                        <w:pStyle w:val="TextBody"/>
                        <w:bidi w:val="0"/>
                        <w:jc w:val="center"/>
                        <w:rPr>
                          <w:rFonts w:ascii="sans-serif" w:hAnsi="sans-serif"/>
                          <w:b/>
                          <w:color w:val="363435"/>
                          <w:sz w:val="24"/>
                        </w:rPr>
                      </w:pPr>
                      <w:r>
                        <w:rPr>
                          <w:rFonts w:ascii="sans-serif" w:hAnsi="sans-serif"/>
                          <w:b/>
                          <w:color w:val="363435"/>
                          <w:sz w:val="24"/>
                        </w:rPr>
                        <w:t>June 11, 2026 9:30 AM, Eastern Time</w:t>
                      </w:r>
                    </w:p>
                    <w:p>
                      <w:pPr>
                        <w:pStyle w:val="TextBody"/>
                        <w:bidi w:val="0"/>
                        <w:jc w:val="center"/>
                        <w:rPr>
                          <w:rFonts w:ascii="sans-serif" w:hAnsi="sans-serif"/>
                          <w:b/>
                          <w:color w:val="363435"/>
                          <w:sz w:val="24"/>
                        </w:rPr>
                      </w:pPr>
                      <w:r>
                        <w:rPr>
                          <w:rFonts w:ascii="sans-serif" w:hAnsi="sans-serif"/>
                          <w:b/>
                          <w:color w:val="363435"/>
                          <w:sz w:val="24"/>
                        </w:rPr>
                        <w:t>This proxy is solicited by the Board of Directors</w:t>
                      </w:r>
                    </w:p>
                    <w:p>
                      <w:pPr>
                        <w:pStyle w:val="TextBody"/>
                        <w:bidi w:val="0"/>
                        <w:spacing w:before="240" w:after="283"/>
                        <w:ind w:left="72" w:right="72" w:hanging="0"/>
                        <w:jc w:val="both"/>
                        <w:rPr>
                          <w:rFonts w:ascii="sans-serif" w:hAnsi="sans-serif"/>
                          <w:color w:val="363435"/>
                          <w:sz w:val="20"/>
                        </w:rPr>
                      </w:pPr>
                      <w:r>
                        <w:rPr>
                          <w:rFonts w:ascii="sans-serif" w:hAnsi="sans-serif"/>
                          <w:color w:val="363435"/>
                          <w:sz w:val="20"/>
                        </w:rPr>
                        <w:t>The stockholder(s) hereby appoint(s) Elisabet de los Pinos, Ph.D. and Conor Kilroy, or either of them, as proxies, each with the power to appoint their substitute, and hereby authorize(s) them to represent and to vote, as designated on the reverse side of this ballot, all of the shares of Common Stock of AURA BIOSCIENCES, INC. that the stockholder(s) is/are entitled to vote at the Annual Meeting of Stockholders to be held at 9:30 AM, Eastern Time on June 11, 2026, at www.virtualshareholdermeeting.com/AURA2026, and any adjournment or postponement thereof. Receipt of the Notice of the 2026 Annual Meeting of the Stockholders, Proxy Statement and 2025 Annual Report is hereby acknowledged.</w:t>
                      </w:r>
                    </w:p>
                    <w:p>
                      <w:pPr>
                        <w:pStyle w:val="TextBody"/>
                        <w:bidi w:val="0"/>
                        <w:spacing w:before="240" w:after="283"/>
                        <w:ind w:left="72" w:right="72" w:hanging="0"/>
                        <w:jc w:val="both"/>
                        <w:rPr>
                          <w:rFonts w:ascii="sans-serif" w:hAnsi="sans-serif"/>
                          <w:b/>
                          <w:color w:val="363435"/>
                          <w:sz w:val="20"/>
                        </w:rPr>
                      </w:pPr>
                      <w:r>
                        <w:rPr>
                          <w:rFonts w:ascii="sans-serif" w:hAnsi="sans-serif"/>
                          <w:b/>
                          <w:color w:val="363435"/>
                          <w:sz w:val="20"/>
                        </w:rPr>
                        <w:t>This proxy, when properly executed, will be voted in the manner directed herein. If no such direction is made, this proxy will be voted in accordance with the Board of Directors’ recommendations.</w:t>
                      </w:r>
                    </w:p>
                    <w:p>
                      <w:pPr>
                        <w:pStyle w:val="TextBody"/>
                        <w:bidi w:val="0"/>
                        <w:spacing w:before="240" w:after="283"/>
                        <w:ind w:left="72" w:right="72" w:hanging="0"/>
                        <w:jc w:val="both"/>
                        <w:rPr/>
                      </w:pPr>
                      <w:r>
                        <w:rPr/>
                        <w:t> </w:t>
                      </w:r>
                    </w:p>
                    <w:p>
                      <w:pPr>
                        <w:pStyle w:val="TextBody"/>
                        <w:bidi w:val="0"/>
                        <w:spacing w:before="240" w:after="283"/>
                        <w:ind w:left="72" w:right="72" w:hanging="0"/>
                        <w:jc w:val="both"/>
                        <w:rPr/>
                      </w:pPr>
                      <w:r>
                        <w:rPr/>
                        <w:t> </w:t>
                      </w:r>
                    </w:p>
                    <w:p>
                      <w:pPr>
                        <w:pStyle w:val="TextBody"/>
                        <w:bidi w:val="0"/>
                        <w:spacing w:before="240" w:after="283"/>
                        <w:ind w:left="72" w:right="72" w:hanging="0"/>
                        <w:jc w:val="both"/>
                        <w:rPr/>
                      </w:pPr>
                      <w:r>
                        <w:rPr/>
                        <w:t> </w:t>
                      </w:r>
                    </w:p>
                    <w:p>
                      <w:pPr>
                        <w:pStyle w:val="TextBody"/>
                        <w:bidi w:val="0"/>
                        <w:spacing w:before="240" w:after="283"/>
                        <w:ind w:left="72" w:right="72" w:hanging="0"/>
                        <w:jc w:val="center"/>
                        <w:rPr>
                          <w:rFonts w:ascii="sans-serif" w:hAnsi="sans-serif"/>
                          <w:b/>
                          <w:color w:val="363435"/>
                          <w:sz w:val="20"/>
                        </w:rPr>
                      </w:pPr>
                      <w:r>
                        <w:rPr>
                          <w:rFonts w:ascii="sans-serif" w:hAnsi="sans-serif"/>
                          <w:b/>
                          <w:color w:val="363435"/>
                          <w:sz w:val="20"/>
                        </w:rPr>
                        <w:t>Continued and to be signed on reverse side</w:t>
                      </w:r>
                    </w:p>
                    <w:p>
                      <w:pPr>
                        <w:pStyle w:val="TextBody"/>
                        <w:bidi w:val="0"/>
                        <w:spacing w:before="40" w:after="6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-25400</wp:posOffset>
                </wp:positionH>
                <wp:positionV relativeFrom="page">
                  <wp:posOffset>4652645</wp:posOffset>
                </wp:positionV>
                <wp:extent cx="7560310" cy="5784215"/>
                <wp:effectExtent l="0" t="0" r="0" b="0"/>
                <wp:wrapNone/>
                <wp:docPr id="5" name="Frame2"/>
                <a:graphic xmlns:a="http://schemas.openxmlformats.org/drawingml/2006/main">
                  <a:graphicData uri="http://schemas.microsoft.com/office/word/2010/wordprocessingShape">
                    <wps:wsp>
                      <wps:cNvSpPr txBox="1"/>
                      <wps:spPr>
                        <a:xfrm>
                          <a:off x="0" y="0"/>
                          <a:ext cx="7560310" cy="5784215"/>
                        </a:xfrm>
                        <a:prstGeom prst="rect"/>
                        <a:solidFill>
                          <a:srgbClr val="FFFFFF"/>
                        </a:solidFill>
                      </wps:spPr>
                      <wps:txbx>
                        <w:txbxContent>
                          <w:p>
                            <w:pPr>
                              <w:pStyle w:val="TextBody"/>
                              <w:bidi w:val="0"/>
                              <w:jc w:val="center"/>
                              <w:rPr/>
                            </w:pPr>
                            <w:r>
                              <w:rPr/>
                              <w:t> </w:t>
                            </w:r>
                          </w:p>
                          <w:p>
                            <w:pPr>
                              <w:pStyle w:val="TextBody"/>
                              <w:bidi w:val="0"/>
                              <w:spacing w:before="0" w:after="283"/>
                              <w:jc w:val="center"/>
                              <w:rPr/>
                            </w:pPr>
                            <w:r>
                              <w:rPr/>
                              <w:drawing>
                                <wp:inline distT="0" distB="0" distL="0" distR="0">
                                  <wp:extent cx="7772400" cy="54292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772400" cy="54292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455.45pt;mso-wrap-distance-left:0pt;mso-wrap-distance-right:0pt;mso-wrap-distance-top:0pt;mso-wrap-distance-bottom:0pt;margin-top:366.35pt;mso-position-vertical-relative:page;margin-left:-2pt;mso-position-horizontal-relative:page">
                <v:textbox inset="0in,0in,0in,0in">
                  <w:txbxContent>
                    <w:p>
                      <w:pPr>
                        <w:pStyle w:val="TextBody"/>
                        <w:bidi w:val="0"/>
                        <w:jc w:val="center"/>
                        <w:rPr/>
                      </w:pPr>
                      <w:r>
                        <w:rPr/>
                        <w:t> </w:t>
                      </w:r>
                    </w:p>
                    <w:p>
                      <w:pPr>
                        <w:pStyle w:val="TextBody"/>
                        <w:bidi w:val="0"/>
                        <w:spacing w:before="0" w:after="283"/>
                        <w:jc w:val="center"/>
                        <w:rPr/>
                      </w:pPr>
                      <w:r>
                        <w:rPr/>
                        <w:drawing>
                          <wp:inline distT="0" distB="0" distL="0" distR="0">
                            <wp:extent cx="7772400" cy="54292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7772400" cy="54292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200025</wp:posOffset>
                </wp:positionH>
                <wp:positionV relativeFrom="page">
                  <wp:posOffset>4581525</wp:posOffset>
                </wp:positionV>
                <wp:extent cx="7237730" cy="10692130"/>
                <wp:effectExtent l="0" t="0" r="0" b="0"/>
                <wp:wrapNone/>
                <wp:docPr id="8" name="Frame1"/>
                <a:graphic xmlns:a="http://schemas.openxmlformats.org/drawingml/2006/main">
                  <a:graphicData uri="http://schemas.microsoft.com/office/word/2010/wordprocessingShape">
                    <wps:wsp>
                      <wps:cNvSpPr txBox="1"/>
                      <wps:spPr>
                        <a:xfrm>
                          <a:off x="0" y="0"/>
                          <a:ext cx="7237730" cy="10692130"/>
                        </a:xfrm>
                        <a:prstGeom prst="rect"/>
                        <a:solidFill>
                          <a:srgbClr val="FFFFFF"/>
                        </a:solidFill>
                      </wps:spPr>
                      <wps:txbx>
                        <w:txbxContent>
                          <w:p>
                            <w:pPr>
                              <w:pStyle w:val="TextBody"/>
                              <w:bidi w:val="0"/>
                              <w:jc w:val="left"/>
                              <w:rPr/>
                            </w:pPr>
                            <w:r>
                              <w:rPr/>
                              <w:t> </w:t>
                            </w:r>
                          </w:p>
                          <w:tbl>
                            <w:tblPr>
                              <w:tblW w:w="9268" w:type="dxa"/>
                              <w:jc w:val="left"/>
                              <w:tblInd w:w="0" w:type="dxa"/>
                              <w:tblLayout w:type="fixed"/>
                              <w:tblCellMar>
                                <w:top w:w="28" w:type="dxa"/>
                                <w:left w:w="28" w:type="dxa"/>
                                <w:bottom w:w="28" w:type="dxa"/>
                                <w:right w:w="28" w:type="dxa"/>
                              </w:tblCellMar>
                            </w:tblPr>
                            <w:tblGrid>
                              <w:gridCol w:w="4991"/>
                              <w:gridCol w:w="1216"/>
                              <w:gridCol w:w="3061"/>
                            </w:tblGrid>
                            <w:tr>
                              <w:trPr/>
                              <w:tc>
                                <w:tcPr>
                                  <w:tcW w:w="499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991" w:type="dxa"/>
                                  <w:tcBorders/>
                                  <w:tcMar>
                                    <w:top w:w="0" w:type="dxa"/>
                                    <w:left w:w="0" w:type="dxa"/>
                                    <w:bottom w:w="0" w:type="dxa"/>
                                    <w:right w:w="0" w:type="dxa"/>
                                  </w:tcMar>
                                  <w:vAlign w:val="center"/>
                                </w:tcPr>
                                <w:p>
                                  <w:pPr>
                                    <w:pStyle w:val="TableContents"/>
                                    <w:bidi w:val="0"/>
                                    <w:spacing w:before="0" w:after="283"/>
                                    <w:ind w:left="100" w:right="0" w:firstLine="100"/>
                                    <w:jc w:val="left"/>
                                    <w:rPr>
                                      <w:rFonts w:ascii="sans-serif" w:hAnsi="sans-serif"/>
                                      <w:color w:val="363435"/>
                                      <w:sz w:val="14"/>
                                    </w:rPr>
                                  </w:pPr>
                                  <w:r>
                                    <w:rPr>
                                      <w:rFonts w:ascii="sans-serif" w:hAnsi="sans-serif"/>
                                      <w:color w:val="363435"/>
                                      <w:sz w:val="14"/>
                                    </w:rPr>
                                    <w:t>TO VOTE, MARK BLOCKS BELOW IN BLUE OR BLACK INK AS FOLLOWS:</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363435"/>
                                      <w:sz w:val="14"/>
                                    </w:rPr>
                                  </w:pPr>
                                  <w:r>
                                    <w:rPr>
                                      <w:rFonts w:ascii="sans-serif" w:hAnsi="sans-serif"/>
                                      <w:color w:val="363435"/>
                                      <w:sz w:val="14"/>
                                    </w:rPr>
                                    <w:t>V93402-P47526</w:t>
                                  </w:r>
                                </w:p>
                              </w:tc>
                              <w:tc>
                                <w:tcPr>
                                  <w:tcW w:w="30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363435"/>
                                      <w:sz w:val="14"/>
                                    </w:rPr>
                                  </w:pPr>
                                  <w:r>
                                    <w:rPr>
                                      <w:rFonts w:ascii="sans-serif" w:hAnsi="sans-serif"/>
                                      <w:color w:val="363435"/>
                                      <w:sz w:val="14"/>
                                    </w:rPr>
                                    <w:t>KEEP THIS PORTION FOR YOUR RECORDS</w:t>
                                  </w:r>
                                </w:p>
                              </w:tc>
                            </w:tr>
                            <w:tr>
                              <w:trPr/>
                              <w:tc>
                                <w:tcPr>
                                  <w:tcW w:w="62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30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207" w:type="dxa"/>
                                  <w:gridSpan w:val="2"/>
                                  <w:tcBorders/>
                                  <w:tcMar>
                                    <w:top w:w="0" w:type="dxa"/>
                                    <w:left w:w="0" w:type="dxa"/>
                                    <w:bottom w:w="0" w:type="dxa"/>
                                    <w:right w:w="0" w:type="dxa"/>
                                  </w:tcMar>
                                  <w:vAlign w:val="center"/>
                                </w:tcPr>
                                <w:p>
                                  <w:pPr>
                                    <w:pStyle w:val="TableContents"/>
                                    <w:bidi w:val="0"/>
                                    <w:spacing w:before="120" w:after="283"/>
                                    <w:jc w:val="right"/>
                                    <w:rPr>
                                      <w:rFonts w:ascii="sans-serif" w:hAnsi="sans-serif"/>
                                      <w:b/>
                                      <w:color w:val="363435"/>
                                      <w:sz w:val="16"/>
                                    </w:rPr>
                                  </w:pPr>
                                  <w:r>
                                    <w:rPr>
                                      <w:rFonts w:ascii="sans-serif" w:hAnsi="sans-serif"/>
                                      <w:b/>
                                      <w:color w:val="363435"/>
                                      <w:sz w:val="16"/>
                                    </w:rPr>
                                    <w:t>THIS PROXY CARD IS VALID ONLY WHEN SIGNED AND DATED.</w:t>
                                  </w:r>
                                </w:p>
                              </w:tc>
                              <w:tc>
                                <w:tcPr>
                                  <w:tcW w:w="3061"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363435"/>
                                      <w:sz w:val="14"/>
                                    </w:rPr>
                                  </w:pPr>
                                  <w:r>
                                    <w:rPr>
                                      <w:rFonts w:ascii="sans-serif" w:hAnsi="sans-serif"/>
                                      <w:color w:val="363435"/>
                                      <w:sz w:val="14"/>
                                    </w:rPr>
                                    <w:t>DETACH AND RETURN THIS PORTION ONLY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781"/>
                              <w:gridCol w:w="146"/>
                              <w:gridCol w:w="424"/>
                              <w:gridCol w:w="146"/>
                              <w:gridCol w:w="856"/>
                              <w:gridCol w:w="146"/>
                              <w:gridCol w:w="676"/>
                              <w:gridCol w:w="146"/>
                              <w:gridCol w:w="2946"/>
                              <w:gridCol w:w="146"/>
                              <w:gridCol w:w="146"/>
                              <w:gridCol w:w="146"/>
                              <w:gridCol w:w="146"/>
                              <w:gridCol w:w="193"/>
                            </w:tblGrid>
                            <w:tr>
                              <w:trPr/>
                              <w:tc>
                                <w:tcPr>
                                  <w:tcW w:w="161"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942" w:type="dxa"/>
                                  <w:gridSpan w:val="2"/>
                                  <w:tcBorders/>
                                  <w:tcMar>
                                    <w:top w:w="0" w:type="dxa"/>
                                    <w:left w:w="0" w:type="dxa"/>
                                    <w:bottom w:w="0" w:type="dxa"/>
                                    <w:right w:w="0" w:type="dxa"/>
                                  </w:tcMar>
                                  <w:vAlign w:val="center"/>
                                </w:tcPr>
                                <w:p>
                                  <w:pPr>
                                    <w:pStyle w:val="TableContents"/>
                                    <w:bidi w:val="0"/>
                                    <w:spacing w:before="120" w:after="283"/>
                                    <w:jc w:val="both"/>
                                    <w:rPr>
                                      <w:rFonts w:ascii="sans-serif" w:hAnsi="sans-serif"/>
                                      <w:b/>
                                      <w:color w:val="000000"/>
                                      <w:sz w:val="15"/>
                                    </w:rPr>
                                  </w:pPr>
                                  <w:r>
                                    <w:rPr>
                                      <w:rFonts w:ascii="sans-serif" w:hAnsi="sans-serif"/>
                                      <w:b/>
                                      <w:color w:val="000000"/>
                                      <w:sz w:val="15"/>
                                    </w:rPr>
                                    <w:t>AURA BIOSCIENCES, INC.</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24"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15"/>
                                    </w:rPr>
                                  </w:pPr>
                                  <w:r>
                                    <w:rPr>
                                      <w:rFonts w:ascii="sans-serif" w:hAnsi="sans-serif"/>
                                      <w:b/>
                                      <w:color w:val="000000"/>
                                      <w:sz w:val="15"/>
                                    </w:rPr>
                                    <w:t>For</w:t>
                                  </w:r>
                                  <w:r>
                                    <w:rPr>
                                      <w:rFonts w:ascii="Times New Roman" w:hAnsi="Times New Roman"/>
                                      <w:color w:val="000000"/>
                                      <w:sz w:val="15"/>
                                    </w:rPr>
                                    <w:t xml:space="preserve">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6" w:type="dxa"/>
                                  <w:tcBorders/>
                                  <w:tcMar>
                                    <w:top w:w="0" w:type="dxa"/>
                                    <w:left w:w="0" w:type="dxa"/>
                                    <w:bottom w:w="0" w:type="dxa"/>
                                    <w:right w:w="0" w:type="dxa"/>
                                  </w:tcMar>
                                  <w:vAlign w:val="center"/>
                                </w:tcPr>
                                <w:p>
                                  <w:pPr>
                                    <w:pStyle w:val="TableContents"/>
                                    <w:bidi w:val="0"/>
                                    <w:spacing w:before="120" w:after="283"/>
                                    <w:jc w:val="center"/>
                                    <w:rPr>
                                      <w:rFonts w:ascii="sans-serif" w:hAnsi="sans-serif"/>
                                      <w:b/>
                                      <w:color w:val="000000"/>
                                      <w:sz w:val="15"/>
                                    </w:rPr>
                                  </w:pPr>
                                  <w:r>
                                    <w:rPr>
                                      <w:rFonts w:ascii="sans-serif" w:hAnsi="sans-serif"/>
                                      <w:b/>
                                      <w:color w:val="000000"/>
                                      <w:sz w:val="15"/>
                                    </w:rPr>
                                    <w:t>Withhold</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76" w:type="dxa"/>
                                  <w:tcBorders/>
                                  <w:tcMar>
                                    <w:top w:w="0" w:type="dxa"/>
                                    <w:left w:w="0" w:type="dxa"/>
                                    <w:bottom w:w="0" w:type="dxa"/>
                                    <w:right w:w="0" w:type="dxa"/>
                                  </w:tcMar>
                                  <w:vAlign w:val="center"/>
                                </w:tcPr>
                                <w:p>
                                  <w:pPr>
                                    <w:pStyle w:val="TableContents"/>
                                    <w:bidi w:val="0"/>
                                    <w:spacing w:before="120" w:after="283"/>
                                    <w:jc w:val="center"/>
                                    <w:rPr>
                                      <w:rFonts w:ascii="sans-serif" w:hAnsi="sans-serif"/>
                                      <w:b/>
                                      <w:color w:val="000000"/>
                                      <w:sz w:val="15"/>
                                    </w:rPr>
                                  </w:pPr>
                                  <w:r>
                                    <w:rPr>
                                      <w:rFonts w:ascii="sans-serif" w:hAnsi="sans-serif"/>
                                      <w:b/>
                                      <w:color w:val="000000"/>
                                      <w:sz w:val="15"/>
                                    </w:rPr>
                                    <w:t>For All</w:t>
                                  </w:r>
                                </w:p>
                              </w:tc>
                              <w:tc>
                                <w:tcPr>
                                  <w:tcW w:w="146"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2946" w:type="dxa"/>
                                  <w:vMerge w:val="restart"/>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15"/>
                                    </w:rPr>
                                  </w:pPr>
                                  <w:r>
                                    <w:rPr>
                                      <w:rFonts w:ascii="sans-serif" w:hAnsi="sans-serif"/>
                                      <w:color w:val="000000"/>
                                      <w:sz w:val="15"/>
                                    </w:rPr>
                                    <w:t>To withhold authority to vote for any individual</w:t>
                                  </w:r>
                                  <w:r>
                                    <w:rPr>
                                      <w:rFonts w:ascii="Times New Roman" w:hAnsi="Times New Roman"/>
                                      <w:color w:val="000000"/>
                                      <w:sz w:val="15"/>
                                    </w:rPr>
                                    <w:t xml:space="preserve"> </w:t>
                                  </w:r>
                                </w:p>
                                <w:p>
                                  <w:pPr>
                                    <w:pStyle w:val="TableContents"/>
                                    <w:bidi w:val="0"/>
                                    <w:jc w:val="left"/>
                                    <w:rPr>
                                      <w:rFonts w:ascii="Times New Roman" w:hAnsi="Times New Roman"/>
                                      <w:sz w:val="15"/>
                                    </w:rPr>
                                  </w:pPr>
                                  <w:r>
                                    <w:rPr>
                                      <w:rFonts w:ascii="sans-serif" w:hAnsi="sans-serif"/>
                                      <w:color w:val="000000"/>
                                      <w:sz w:val="15"/>
                                    </w:rPr>
                                    <w:t>nominee(s), mark "For All Except" and write the</w:t>
                                  </w:r>
                                  <w:r>
                                    <w:rPr>
                                      <w:rFonts w:ascii="Times New Roman" w:hAnsi="Times New Roman"/>
                                      <w:color w:val="000000"/>
                                      <w:sz w:val="15"/>
                                    </w:rPr>
                                    <w:t xml:space="preserve"> </w:t>
                                  </w:r>
                                </w:p>
                                <w:p>
                                  <w:pPr>
                                    <w:pStyle w:val="TableContents"/>
                                    <w:bidi w:val="0"/>
                                    <w:spacing w:before="0" w:after="283"/>
                                    <w:jc w:val="left"/>
                                    <w:rPr>
                                      <w:rFonts w:ascii="sans-serif" w:hAnsi="sans-serif"/>
                                      <w:color w:val="000000"/>
                                      <w:sz w:val="15"/>
                                    </w:rPr>
                                  </w:pPr>
                                  <w:r>
                                    <w:rPr>
                                      <w:rFonts w:ascii="sans-serif" w:hAnsi="sans-serif"/>
                                      <w:color w:val="000000"/>
                                      <w:sz w:val="15"/>
                                    </w:rPr>
                                    <w:t>number(s) of the nominee(s) on the line below.</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93"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81" w:type="dxa"/>
                                  <w:tcBorders/>
                                  <w:tcMar>
                                    <w:top w:w="0" w:type="dxa"/>
                                    <w:left w:w="0" w:type="dxa"/>
                                    <w:bottom w:w="0" w:type="dxa"/>
                                    <w:right w:w="0" w:type="dxa"/>
                                  </w:tcMar>
                                  <w:vAlign w:val="center"/>
                                </w:tcPr>
                                <w:p>
                                  <w:pPr>
                                    <w:pStyle w:val="TableContents"/>
                                    <w:bidi w:val="0"/>
                                    <w:jc w:val="both"/>
                                    <w:rPr>
                                      <w:rFonts w:ascii="Times New Roman" w:hAnsi="Times New Roman"/>
                                      <w:sz w:val="15"/>
                                    </w:rPr>
                                  </w:pPr>
                                  <w:r>
                                    <w:rPr>
                                      <w:rFonts w:ascii="sans-serif" w:hAnsi="sans-serif"/>
                                      <w:b/>
                                      <w:color w:val="000000"/>
                                      <w:sz w:val="15"/>
                                    </w:rPr>
                                    <w:t>The Board of Directors recommends you vote FOR the</w:t>
                                  </w:r>
                                  <w:r>
                                    <w:rPr>
                                      <w:rFonts w:ascii="Times New Roman" w:hAnsi="Times New Roman"/>
                                      <w:color w:val="000000"/>
                                      <w:sz w:val="15"/>
                                    </w:rPr>
                                    <w:t xml:space="preserve"> </w:t>
                                  </w:r>
                                </w:p>
                                <w:p>
                                  <w:pPr>
                                    <w:pStyle w:val="TableContents"/>
                                    <w:bidi w:val="0"/>
                                    <w:spacing w:before="0" w:after="283"/>
                                    <w:jc w:val="left"/>
                                    <w:rPr>
                                      <w:rFonts w:ascii="sans-serif" w:hAnsi="sans-serif"/>
                                      <w:b/>
                                      <w:color w:val="000000"/>
                                      <w:sz w:val="15"/>
                                    </w:rPr>
                                  </w:pPr>
                                  <w:r>
                                    <w:rPr>
                                      <w:rFonts w:ascii="sans-serif" w:hAnsi="sans-serif"/>
                                      <w:b/>
                                      <w:color w:val="000000"/>
                                      <w:sz w:val="15"/>
                                    </w:rPr>
                                    <w:t>following: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Except</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94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0"/>
                              <w:gridCol w:w="3048"/>
                              <w:gridCol w:w="2734"/>
                              <w:gridCol w:w="155"/>
                              <w:gridCol w:w="337"/>
                              <w:gridCol w:w="155"/>
                              <w:gridCol w:w="337"/>
                              <w:gridCol w:w="155"/>
                              <w:gridCol w:w="337"/>
                              <w:gridCol w:w="146"/>
                              <w:gridCol w:w="146"/>
                              <w:gridCol w:w="391"/>
                              <w:gridCol w:w="146"/>
                              <w:gridCol w:w="751"/>
                              <w:gridCol w:w="146"/>
                              <w:gridCol w:w="801"/>
                            </w:tblGrid>
                            <w:tr>
                              <w:trPr/>
                              <w:tc>
                                <w:tcPr>
                                  <w:tcW w:w="420"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420" w:type="dxa"/>
                                  <w:tcBorders/>
                                  <w:tcMar>
                                    <w:top w:w="0" w:type="dxa"/>
                                    <w:left w:w="0" w:type="dxa"/>
                                    <w:bottom w:w="0" w:type="dxa"/>
                                    <w:right w:w="0" w:type="dxa"/>
                                  </w:tcMar>
                                  <w:vAlign w:val="center"/>
                                </w:tcPr>
                                <w:p>
                                  <w:pPr>
                                    <w:pStyle w:val="TableContents"/>
                                    <w:bidi w:val="0"/>
                                    <w:spacing w:before="0" w:after="283"/>
                                    <w:ind w:left="0" w:right="0" w:firstLine="259"/>
                                    <w:jc w:val="left"/>
                                    <w:rPr/>
                                  </w:pPr>
                                  <w:r>
                                    <w:rPr/>
                                    <w:t> </w:t>
                                  </w:r>
                                </w:p>
                              </w:tc>
                              <w:tc>
                                <w:tcPr>
                                  <w:tcW w:w="5782" w:type="dxa"/>
                                  <w:gridSpan w:val="2"/>
                                  <w:tcBorders/>
                                  <w:tcMar>
                                    <w:top w:w="0" w:type="dxa"/>
                                    <w:left w:w="0" w:type="dxa"/>
                                    <w:bottom w:w="0" w:type="dxa"/>
                                    <w:right w:w="0" w:type="dxa"/>
                                  </w:tcMar>
                                  <w:vAlign w:val="center"/>
                                </w:tcPr>
                                <w:p>
                                  <w:pPr>
                                    <w:pStyle w:val="TableContents"/>
                                    <w:pBdr/>
                                    <w:bidi w:val="0"/>
                                    <w:spacing w:before="0" w:after="283"/>
                                    <w:ind w:left="0" w:right="0" w:hanging="259"/>
                                    <w:jc w:val="both"/>
                                    <w:rPr>
                                      <w:rFonts w:ascii="sans-serif" w:hAnsi="sans-serif"/>
                                      <w:color w:val="000000"/>
                                      <w:sz w:val="15"/>
                                    </w:rPr>
                                  </w:pPr>
                                  <w:r>
                                    <w:rPr>
                                      <w:rFonts w:ascii="sans-serif" w:hAnsi="sans-serif"/>
                                      <w:color w:val="000000"/>
                                      <w:sz w:val="15"/>
                                    </w:rPr>
                                    <w:t>1. To elect two Class II directors to our Board of Directors, to serve until the 2029 annual meeting of stockholders and until their successor has been duly elected and qualified, or until their earlier death, resignation or removal;</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ind w:left="0" w:right="0" w:firstLine="259"/>
                                    <w:jc w:val="left"/>
                                    <w:rPr/>
                                  </w:pPr>
                                  <w:r>
                                    <w:rPr/>
                                    <w:t> </w:t>
                                  </w:r>
                                </w:p>
                              </w:tc>
                              <w:tc>
                                <w:tcPr>
                                  <w:tcW w:w="5782" w:type="dxa"/>
                                  <w:gridSpan w:val="2"/>
                                  <w:tcBorders/>
                                  <w:tcMar>
                                    <w:top w:w="0" w:type="dxa"/>
                                    <w:left w:w="0" w:type="dxa"/>
                                    <w:bottom w:w="0" w:type="dxa"/>
                                    <w:right w:w="0" w:type="dxa"/>
                                  </w:tcMar>
                                  <w:vAlign w:val="center"/>
                                </w:tcPr>
                                <w:p>
                                  <w:pPr>
                                    <w:pStyle w:val="TableContents"/>
                                    <w:bidi w:val="0"/>
                                    <w:spacing w:before="0" w:after="283"/>
                                    <w:ind w:left="259" w:right="0" w:firstLine="259"/>
                                    <w:jc w:val="left"/>
                                    <w:rPr>
                                      <w:rFonts w:ascii="sans-serif" w:hAnsi="sans-serif"/>
                                      <w:b/>
                                      <w:color w:val="000000"/>
                                      <w:sz w:val="15"/>
                                    </w:rPr>
                                  </w:pPr>
                                  <w:r>
                                    <w:rPr>
                                      <w:rFonts w:ascii="sans-serif" w:hAnsi="sans-serif"/>
                                      <w:b/>
                                      <w:color w:val="000000"/>
                                      <w:sz w:val="15"/>
                                    </w:rPr>
                                    <w:t>Nominees:</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ind w:left="0" w:right="0" w:firstLine="259"/>
                                    <w:jc w:val="left"/>
                                    <w:rPr/>
                                  </w:pPr>
                                  <w:r>
                                    <w:rPr/>
                                    <w:t> </w:t>
                                  </w:r>
                                </w:p>
                              </w:tc>
                              <w:tc>
                                <w:tcPr>
                                  <w:tcW w:w="5782" w:type="dxa"/>
                                  <w:gridSpan w:val="2"/>
                                  <w:tcBorders/>
                                  <w:tcMar>
                                    <w:top w:w="0" w:type="dxa"/>
                                    <w:left w:w="0" w:type="dxa"/>
                                    <w:bottom w:w="0" w:type="dxa"/>
                                    <w:right w:w="0" w:type="dxa"/>
                                  </w:tcMar>
                                  <w:vAlign w:val="center"/>
                                </w:tcPr>
                                <w:p>
                                  <w:pPr>
                                    <w:pStyle w:val="TableContents"/>
                                    <w:bidi w:val="0"/>
                                    <w:spacing w:before="0" w:after="283"/>
                                    <w:ind w:left="259" w:right="0" w:firstLine="259"/>
                                    <w:jc w:val="left"/>
                                    <w:rPr>
                                      <w:rFonts w:ascii="sans-serif" w:hAnsi="sans-serif"/>
                                      <w:color w:val="000000"/>
                                      <w:sz w:val="15"/>
                                    </w:rPr>
                                  </w:pPr>
                                  <w:r>
                                    <w:rPr>
                                      <w:rFonts w:ascii="sans-serif" w:hAnsi="sans-serif"/>
                                      <w:color w:val="000000"/>
                                      <w:sz w:val="15"/>
                                    </w:rPr>
                                    <w:t>01) David Johnson</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ind w:left="0" w:right="0" w:firstLine="259"/>
                                    <w:jc w:val="left"/>
                                    <w:rPr/>
                                  </w:pPr>
                                  <w:r>
                                    <w:rPr/>
                                    <w:t> </w:t>
                                  </w:r>
                                </w:p>
                              </w:tc>
                              <w:tc>
                                <w:tcPr>
                                  <w:tcW w:w="5782" w:type="dxa"/>
                                  <w:gridSpan w:val="2"/>
                                  <w:tcBorders/>
                                  <w:tcMar>
                                    <w:top w:w="0" w:type="dxa"/>
                                    <w:left w:w="0" w:type="dxa"/>
                                    <w:bottom w:w="0" w:type="dxa"/>
                                    <w:right w:w="0" w:type="dxa"/>
                                  </w:tcMar>
                                  <w:vAlign w:val="center"/>
                                </w:tcPr>
                                <w:p>
                                  <w:pPr>
                                    <w:pStyle w:val="TableContents"/>
                                    <w:bidi w:val="0"/>
                                    <w:spacing w:before="0" w:after="283"/>
                                    <w:ind w:left="259" w:right="0" w:firstLine="259"/>
                                    <w:jc w:val="left"/>
                                    <w:rPr>
                                      <w:rFonts w:ascii="sans-serif" w:hAnsi="sans-serif"/>
                                      <w:color w:val="000000"/>
                                      <w:sz w:val="15"/>
                                    </w:rPr>
                                  </w:pPr>
                                  <w:r>
                                    <w:rPr>
                                      <w:rFonts w:ascii="sans-serif" w:hAnsi="sans-serif"/>
                                      <w:color w:val="000000"/>
                                      <w:sz w:val="15"/>
                                    </w:rPr>
                                    <w:t>02) Teresa Marie Bitetti</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550" w:type="dxa"/>
                                  <w:gridSpan w:val="10"/>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5"/>
                                    </w:rPr>
                                  </w:pPr>
                                  <w:r>
                                    <w:rPr>
                                      <w:rFonts w:ascii="sans-serif" w:hAnsi="sans-serif"/>
                                      <w:b/>
                                      <w:color w:val="000000"/>
                                      <w:sz w:val="15"/>
                                    </w:rPr>
                                    <w:t>The Board of Directors recommends you vote FOR the following proposal:</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For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Against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Abstain</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550" w:type="dxa"/>
                                  <w:gridSpan w:val="10"/>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5"/>
                                    </w:rPr>
                                  </w:pPr>
                                  <w:r>
                                    <w:rPr>
                                      <w:rFonts w:ascii="sans-serif" w:hAnsi="sans-serif"/>
                                      <w:color w:val="000000"/>
                                      <w:sz w:val="15"/>
                                    </w:rPr>
                                    <w:t>2. To ratify the appointment of Ernst &amp; Young LLP as our independent registered public accounting firm for the fiscal year ending December 31, 2026.</w:t>
                                  </w:r>
                                </w:p>
                              </w:tc>
                              <w:tc>
                                <w:tcPr>
                                  <w:tcW w:w="3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9785" w:type="dxa"/>
                                  <w:gridSpan w:val="15"/>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sans-serif" w:hAnsi="sans-serif"/>
                                      <w:b/>
                                      <w:color w:val="000000"/>
                                      <w:sz w:val="15"/>
                                    </w:rPr>
                                    <w:t>NOTE:</w:t>
                                  </w:r>
                                  <w:r>
                                    <w:rPr>
                                      <w:rFonts w:ascii="Times New Roman" w:hAnsi="Times New Roman"/>
                                      <w:color w:val="000000"/>
                                      <w:sz w:val="15"/>
                                    </w:rPr>
                                    <w:t> </w:t>
                                  </w:r>
                                  <w:r>
                                    <w:rPr>
                                      <w:rFonts w:ascii="sans-serif" w:hAnsi="sans-serif"/>
                                      <w:color w:val="000000"/>
                                      <w:sz w:val="15"/>
                                    </w:rPr>
                                    <w:t>Such other business as may properly come before the meeting or any adjournment thereof.</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8"/>
                                  <w:vMerge w:val="restart"/>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5"/>
                                    </w:rPr>
                                  </w:pPr>
                                  <w:r>
                                    <w:rPr>
                                      <w:rFonts w:ascii="sans-serif" w:hAnsi="sans-serif"/>
                                      <w:color w:val="000000"/>
                                      <w:sz w:val="15"/>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8"/>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8"/>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8"/>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81" w:type="dxa"/>
                              <w:jc w:val="left"/>
                              <w:tblInd w:w="0" w:type="dxa"/>
                              <w:tblLayout w:type="fixed"/>
                              <w:tblCellMar>
                                <w:top w:w="28" w:type="dxa"/>
                                <w:left w:w="28" w:type="dxa"/>
                                <w:bottom w:w="28" w:type="dxa"/>
                                <w:right w:w="28" w:type="dxa"/>
                              </w:tblCellMar>
                            </w:tblPr>
                            <w:tblGrid>
                              <w:gridCol w:w="2926"/>
                              <w:gridCol w:w="586"/>
                              <w:gridCol w:w="146"/>
                              <w:gridCol w:w="1906"/>
                              <w:gridCol w:w="52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58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5"/>
                                    </w:rPr>
                                  </w:pPr>
                                  <w:r>
                                    <w:rPr>
                                      <w:rFonts w:ascii="sans-serif" w:hAnsi="sans-serif"/>
                                      <w:color w:val="000000"/>
                                      <w:sz w:val="15"/>
                                    </w:rPr>
                                    <w:t>Signature [PLEASE SIGN WITHIN BOX]</w:t>
                                  </w:r>
                                </w:p>
                              </w:tc>
                              <w:tc>
                                <w:tcPr>
                                  <w:tcW w:w="5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5"/>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5"/>
                                    </w:rPr>
                                  </w:pPr>
                                  <w:r>
                                    <w:rPr>
                                      <w:rFonts w:ascii="sans-serif" w:hAnsi="sans-serif"/>
                                      <w:color w:val="000000"/>
                                      <w:sz w:val="15"/>
                                    </w:rPr>
                                    <w:t>Signature (Joint Owners)</w:t>
                                  </w:r>
                                </w:p>
                              </w:tc>
                              <w:tc>
                                <w:tcPr>
                                  <w:tcW w:w="5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5"/>
                                    </w:rPr>
                                    <w:t>Date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69.9pt;height:841.9pt;mso-wrap-distance-left:0pt;mso-wrap-distance-right:0pt;mso-wrap-distance-top:0pt;mso-wrap-distance-bottom:0pt;margin-top:360.75pt;mso-position-vertical-relative:page;margin-left:15.75pt;mso-position-horizontal-relative:page">
                <v:textbox inset="0in,0in,0in,0in">
                  <w:txbxContent>
                    <w:p>
                      <w:pPr>
                        <w:pStyle w:val="TextBody"/>
                        <w:bidi w:val="0"/>
                        <w:jc w:val="left"/>
                        <w:rPr/>
                      </w:pPr>
                      <w:r>
                        <w:rPr/>
                        <w:t> </w:t>
                      </w:r>
                    </w:p>
                    <w:tbl>
                      <w:tblPr>
                        <w:tblW w:w="9268" w:type="dxa"/>
                        <w:jc w:val="left"/>
                        <w:tblInd w:w="0" w:type="dxa"/>
                        <w:tblLayout w:type="fixed"/>
                        <w:tblCellMar>
                          <w:top w:w="28" w:type="dxa"/>
                          <w:left w:w="28" w:type="dxa"/>
                          <w:bottom w:w="28" w:type="dxa"/>
                          <w:right w:w="28" w:type="dxa"/>
                        </w:tblCellMar>
                      </w:tblPr>
                      <w:tblGrid>
                        <w:gridCol w:w="4991"/>
                        <w:gridCol w:w="1216"/>
                        <w:gridCol w:w="3061"/>
                      </w:tblGrid>
                      <w:tr>
                        <w:trPr/>
                        <w:tc>
                          <w:tcPr>
                            <w:tcW w:w="499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991" w:type="dxa"/>
                            <w:tcBorders/>
                            <w:tcMar>
                              <w:top w:w="0" w:type="dxa"/>
                              <w:left w:w="0" w:type="dxa"/>
                              <w:bottom w:w="0" w:type="dxa"/>
                              <w:right w:w="0" w:type="dxa"/>
                            </w:tcMar>
                            <w:vAlign w:val="center"/>
                          </w:tcPr>
                          <w:p>
                            <w:pPr>
                              <w:pStyle w:val="TableContents"/>
                              <w:bidi w:val="0"/>
                              <w:spacing w:before="0" w:after="283"/>
                              <w:ind w:left="100" w:right="0" w:firstLine="100"/>
                              <w:jc w:val="left"/>
                              <w:rPr>
                                <w:rFonts w:ascii="sans-serif" w:hAnsi="sans-serif"/>
                                <w:color w:val="363435"/>
                                <w:sz w:val="14"/>
                              </w:rPr>
                            </w:pPr>
                            <w:r>
                              <w:rPr>
                                <w:rFonts w:ascii="sans-serif" w:hAnsi="sans-serif"/>
                                <w:color w:val="363435"/>
                                <w:sz w:val="14"/>
                              </w:rPr>
                              <w:t>TO VOTE, MARK BLOCKS BELOW IN BLUE OR BLACK INK AS FOLLOWS:</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363435"/>
                                <w:sz w:val="14"/>
                              </w:rPr>
                            </w:pPr>
                            <w:r>
                              <w:rPr>
                                <w:rFonts w:ascii="sans-serif" w:hAnsi="sans-serif"/>
                                <w:color w:val="363435"/>
                                <w:sz w:val="14"/>
                              </w:rPr>
                              <w:t>V93402-P47526</w:t>
                            </w:r>
                          </w:p>
                        </w:tc>
                        <w:tc>
                          <w:tcPr>
                            <w:tcW w:w="30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363435"/>
                                <w:sz w:val="14"/>
                              </w:rPr>
                            </w:pPr>
                            <w:r>
                              <w:rPr>
                                <w:rFonts w:ascii="sans-serif" w:hAnsi="sans-serif"/>
                                <w:color w:val="363435"/>
                                <w:sz w:val="14"/>
                              </w:rPr>
                              <w:t>KEEP THIS PORTION FOR YOUR RECORDS</w:t>
                            </w:r>
                          </w:p>
                        </w:tc>
                      </w:tr>
                      <w:tr>
                        <w:trPr/>
                        <w:tc>
                          <w:tcPr>
                            <w:tcW w:w="620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30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207" w:type="dxa"/>
                            <w:gridSpan w:val="2"/>
                            <w:tcBorders/>
                            <w:tcMar>
                              <w:top w:w="0" w:type="dxa"/>
                              <w:left w:w="0" w:type="dxa"/>
                              <w:bottom w:w="0" w:type="dxa"/>
                              <w:right w:w="0" w:type="dxa"/>
                            </w:tcMar>
                            <w:vAlign w:val="center"/>
                          </w:tcPr>
                          <w:p>
                            <w:pPr>
                              <w:pStyle w:val="TableContents"/>
                              <w:bidi w:val="0"/>
                              <w:spacing w:before="120" w:after="283"/>
                              <w:jc w:val="right"/>
                              <w:rPr>
                                <w:rFonts w:ascii="sans-serif" w:hAnsi="sans-serif"/>
                                <w:b/>
                                <w:color w:val="363435"/>
                                <w:sz w:val="16"/>
                              </w:rPr>
                            </w:pPr>
                            <w:r>
                              <w:rPr>
                                <w:rFonts w:ascii="sans-serif" w:hAnsi="sans-serif"/>
                                <w:b/>
                                <w:color w:val="363435"/>
                                <w:sz w:val="16"/>
                              </w:rPr>
                              <w:t>THIS PROXY CARD IS VALID ONLY WHEN SIGNED AND DATED.</w:t>
                            </w:r>
                          </w:p>
                        </w:tc>
                        <w:tc>
                          <w:tcPr>
                            <w:tcW w:w="3061" w:type="dxa"/>
                            <w:tcBorders/>
                            <w:tcMar>
                              <w:top w:w="0" w:type="dxa"/>
                              <w:left w:w="0" w:type="dxa"/>
                              <w:bottom w:w="0" w:type="dxa"/>
                              <w:right w:w="0" w:type="dxa"/>
                            </w:tcMar>
                            <w:vAlign w:val="center"/>
                          </w:tcPr>
                          <w:p>
                            <w:pPr>
                              <w:pStyle w:val="TableContents"/>
                              <w:bidi w:val="0"/>
                              <w:spacing w:before="120" w:after="283"/>
                              <w:jc w:val="right"/>
                              <w:rPr>
                                <w:rFonts w:ascii="sans-serif" w:hAnsi="sans-serif"/>
                                <w:color w:val="363435"/>
                                <w:sz w:val="14"/>
                              </w:rPr>
                            </w:pPr>
                            <w:r>
                              <w:rPr>
                                <w:rFonts w:ascii="sans-serif" w:hAnsi="sans-serif"/>
                                <w:color w:val="363435"/>
                                <w:sz w:val="14"/>
                              </w:rPr>
                              <w:t>DETACH AND RETURN THIS PORTION ONLY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781"/>
                        <w:gridCol w:w="146"/>
                        <w:gridCol w:w="424"/>
                        <w:gridCol w:w="146"/>
                        <w:gridCol w:w="856"/>
                        <w:gridCol w:w="146"/>
                        <w:gridCol w:w="676"/>
                        <w:gridCol w:w="146"/>
                        <w:gridCol w:w="2946"/>
                        <w:gridCol w:w="146"/>
                        <w:gridCol w:w="146"/>
                        <w:gridCol w:w="146"/>
                        <w:gridCol w:w="146"/>
                        <w:gridCol w:w="193"/>
                      </w:tblGrid>
                      <w:tr>
                        <w:trPr/>
                        <w:tc>
                          <w:tcPr>
                            <w:tcW w:w="161"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942" w:type="dxa"/>
                            <w:gridSpan w:val="2"/>
                            <w:tcBorders/>
                            <w:tcMar>
                              <w:top w:w="0" w:type="dxa"/>
                              <w:left w:w="0" w:type="dxa"/>
                              <w:bottom w:w="0" w:type="dxa"/>
                              <w:right w:w="0" w:type="dxa"/>
                            </w:tcMar>
                            <w:vAlign w:val="center"/>
                          </w:tcPr>
                          <w:p>
                            <w:pPr>
                              <w:pStyle w:val="TableContents"/>
                              <w:bidi w:val="0"/>
                              <w:spacing w:before="120" w:after="283"/>
                              <w:jc w:val="both"/>
                              <w:rPr>
                                <w:rFonts w:ascii="sans-serif" w:hAnsi="sans-serif"/>
                                <w:b/>
                                <w:color w:val="000000"/>
                                <w:sz w:val="15"/>
                              </w:rPr>
                            </w:pPr>
                            <w:r>
                              <w:rPr>
                                <w:rFonts w:ascii="sans-serif" w:hAnsi="sans-serif"/>
                                <w:b/>
                                <w:color w:val="000000"/>
                                <w:sz w:val="15"/>
                              </w:rPr>
                              <w:t>AURA BIOSCIENCES, INC.</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424"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15"/>
                              </w:rPr>
                            </w:pPr>
                            <w:r>
                              <w:rPr>
                                <w:rFonts w:ascii="sans-serif" w:hAnsi="sans-serif"/>
                                <w:b/>
                                <w:color w:val="000000"/>
                                <w:sz w:val="15"/>
                              </w:rPr>
                              <w:t>For</w:t>
                            </w:r>
                            <w:r>
                              <w:rPr>
                                <w:rFonts w:ascii="Times New Roman" w:hAnsi="Times New Roman"/>
                                <w:color w:val="000000"/>
                                <w:sz w:val="15"/>
                              </w:rPr>
                              <w:t xml:space="preserve">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6" w:type="dxa"/>
                            <w:tcBorders/>
                            <w:tcMar>
                              <w:top w:w="0" w:type="dxa"/>
                              <w:left w:w="0" w:type="dxa"/>
                              <w:bottom w:w="0" w:type="dxa"/>
                              <w:right w:w="0" w:type="dxa"/>
                            </w:tcMar>
                            <w:vAlign w:val="center"/>
                          </w:tcPr>
                          <w:p>
                            <w:pPr>
                              <w:pStyle w:val="TableContents"/>
                              <w:bidi w:val="0"/>
                              <w:spacing w:before="120" w:after="283"/>
                              <w:jc w:val="center"/>
                              <w:rPr>
                                <w:rFonts w:ascii="sans-serif" w:hAnsi="sans-serif"/>
                                <w:b/>
                                <w:color w:val="000000"/>
                                <w:sz w:val="15"/>
                              </w:rPr>
                            </w:pPr>
                            <w:r>
                              <w:rPr>
                                <w:rFonts w:ascii="sans-serif" w:hAnsi="sans-serif"/>
                                <w:b/>
                                <w:color w:val="000000"/>
                                <w:sz w:val="15"/>
                              </w:rPr>
                              <w:t>Withhold</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76" w:type="dxa"/>
                            <w:tcBorders/>
                            <w:tcMar>
                              <w:top w:w="0" w:type="dxa"/>
                              <w:left w:w="0" w:type="dxa"/>
                              <w:bottom w:w="0" w:type="dxa"/>
                              <w:right w:w="0" w:type="dxa"/>
                            </w:tcMar>
                            <w:vAlign w:val="center"/>
                          </w:tcPr>
                          <w:p>
                            <w:pPr>
                              <w:pStyle w:val="TableContents"/>
                              <w:bidi w:val="0"/>
                              <w:spacing w:before="120" w:after="283"/>
                              <w:jc w:val="center"/>
                              <w:rPr>
                                <w:rFonts w:ascii="sans-serif" w:hAnsi="sans-serif"/>
                                <w:b/>
                                <w:color w:val="000000"/>
                                <w:sz w:val="15"/>
                              </w:rPr>
                            </w:pPr>
                            <w:r>
                              <w:rPr>
                                <w:rFonts w:ascii="sans-serif" w:hAnsi="sans-serif"/>
                                <w:b/>
                                <w:color w:val="000000"/>
                                <w:sz w:val="15"/>
                              </w:rPr>
                              <w:t>For All</w:t>
                            </w:r>
                          </w:p>
                        </w:tc>
                        <w:tc>
                          <w:tcPr>
                            <w:tcW w:w="146"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2946" w:type="dxa"/>
                            <w:vMerge w:val="restart"/>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15"/>
                              </w:rPr>
                            </w:pPr>
                            <w:r>
                              <w:rPr>
                                <w:rFonts w:ascii="sans-serif" w:hAnsi="sans-serif"/>
                                <w:color w:val="000000"/>
                                <w:sz w:val="15"/>
                              </w:rPr>
                              <w:t>To withhold authority to vote for any individual</w:t>
                            </w:r>
                            <w:r>
                              <w:rPr>
                                <w:rFonts w:ascii="Times New Roman" w:hAnsi="Times New Roman"/>
                                <w:color w:val="000000"/>
                                <w:sz w:val="15"/>
                              </w:rPr>
                              <w:t xml:space="preserve"> </w:t>
                            </w:r>
                          </w:p>
                          <w:p>
                            <w:pPr>
                              <w:pStyle w:val="TableContents"/>
                              <w:bidi w:val="0"/>
                              <w:jc w:val="left"/>
                              <w:rPr>
                                <w:rFonts w:ascii="Times New Roman" w:hAnsi="Times New Roman"/>
                                <w:sz w:val="15"/>
                              </w:rPr>
                            </w:pPr>
                            <w:r>
                              <w:rPr>
                                <w:rFonts w:ascii="sans-serif" w:hAnsi="sans-serif"/>
                                <w:color w:val="000000"/>
                                <w:sz w:val="15"/>
                              </w:rPr>
                              <w:t>nominee(s), mark "For All Except" and write the</w:t>
                            </w:r>
                            <w:r>
                              <w:rPr>
                                <w:rFonts w:ascii="Times New Roman" w:hAnsi="Times New Roman"/>
                                <w:color w:val="000000"/>
                                <w:sz w:val="15"/>
                              </w:rPr>
                              <w:t xml:space="preserve"> </w:t>
                            </w:r>
                          </w:p>
                          <w:p>
                            <w:pPr>
                              <w:pStyle w:val="TableContents"/>
                              <w:bidi w:val="0"/>
                              <w:spacing w:before="0" w:after="283"/>
                              <w:jc w:val="left"/>
                              <w:rPr>
                                <w:rFonts w:ascii="sans-serif" w:hAnsi="sans-serif"/>
                                <w:color w:val="000000"/>
                                <w:sz w:val="15"/>
                              </w:rPr>
                            </w:pPr>
                            <w:r>
                              <w:rPr>
                                <w:rFonts w:ascii="sans-serif" w:hAnsi="sans-serif"/>
                                <w:color w:val="000000"/>
                                <w:sz w:val="15"/>
                              </w:rPr>
                              <w:t>number(s) of the nominee(s) on the line below.</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93"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81" w:type="dxa"/>
                            <w:tcBorders/>
                            <w:tcMar>
                              <w:top w:w="0" w:type="dxa"/>
                              <w:left w:w="0" w:type="dxa"/>
                              <w:bottom w:w="0" w:type="dxa"/>
                              <w:right w:w="0" w:type="dxa"/>
                            </w:tcMar>
                            <w:vAlign w:val="center"/>
                          </w:tcPr>
                          <w:p>
                            <w:pPr>
                              <w:pStyle w:val="TableContents"/>
                              <w:bidi w:val="0"/>
                              <w:jc w:val="both"/>
                              <w:rPr>
                                <w:rFonts w:ascii="Times New Roman" w:hAnsi="Times New Roman"/>
                                <w:sz w:val="15"/>
                              </w:rPr>
                            </w:pPr>
                            <w:r>
                              <w:rPr>
                                <w:rFonts w:ascii="sans-serif" w:hAnsi="sans-serif"/>
                                <w:b/>
                                <w:color w:val="000000"/>
                                <w:sz w:val="15"/>
                              </w:rPr>
                              <w:t>The Board of Directors recommends you vote FOR the</w:t>
                            </w:r>
                            <w:r>
                              <w:rPr>
                                <w:rFonts w:ascii="Times New Roman" w:hAnsi="Times New Roman"/>
                                <w:color w:val="000000"/>
                                <w:sz w:val="15"/>
                              </w:rPr>
                              <w:t xml:space="preserve"> </w:t>
                            </w:r>
                          </w:p>
                          <w:p>
                            <w:pPr>
                              <w:pStyle w:val="TableContents"/>
                              <w:bidi w:val="0"/>
                              <w:spacing w:before="0" w:after="283"/>
                              <w:jc w:val="left"/>
                              <w:rPr>
                                <w:rFonts w:ascii="sans-serif" w:hAnsi="sans-serif"/>
                                <w:b/>
                                <w:color w:val="000000"/>
                                <w:sz w:val="15"/>
                              </w:rPr>
                            </w:pPr>
                            <w:r>
                              <w:rPr>
                                <w:rFonts w:ascii="sans-serif" w:hAnsi="sans-serif"/>
                                <w:b/>
                                <w:color w:val="000000"/>
                                <w:sz w:val="15"/>
                              </w:rPr>
                              <w:t>following: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Except</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94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0"/>
                        <w:gridCol w:w="3048"/>
                        <w:gridCol w:w="2734"/>
                        <w:gridCol w:w="155"/>
                        <w:gridCol w:w="337"/>
                        <w:gridCol w:w="155"/>
                        <w:gridCol w:w="337"/>
                        <w:gridCol w:w="155"/>
                        <w:gridCol w:w="337"/>
                        <w:gridCol w:w="146"/>
                        <w:gridCol w:w="146"/>
                        <w:gridCol w:w="391"/>
                        <w:gridCol w:w="146"/>
                        <w:gridCol w:w="751"/>
                        <w:gridCol w:w="146"/>
                        <w:gridCol w:w="801"/>
                      </w:tblGrid>
                      <w:tr>
                        <w:trPr/>
                        <w:tc>
                          <w:tcPr>
                            <w:tcW w:w="420"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420" w:type="dxa"/>
                            <w:tcBorders/>
                            <w:tcMar>
                              <w:top w:w="0" w:type="dxa"/>
                              <w:left w:w="0" w:type="dxa"/>
                              <w:bottom w:w="0" w:type="dxa"/>
                              <w:right w:w="0" w:type="dxa"/>
                            </w:tcMar>
                            <w:vAlign w:val="center"/>
                          </w:tcPr>
                          <w:p>
                            <w:pPr>
                              <w:pStyle w:val="TableContents"/>
                              <w:bidi w:val="0"/>
                              <w:spacing w:before="0" w:after="283"/>
                              <w:ind w:left="0" w:right="0" w:firstLine="259"/>
                              <w:jc w:val="left"/>
                              <w:rPr/>
                            </w:pPr>
                            <w:r>
                              <w:rPr/>
                              <w:t> </w:t>
                            </w:r>
                          </w:p>
                        </w:tc>
                        <w:tc>
                          <w:tcPr>
                            <w:tcW w:w="5782" w:type="dxa"/>
                            <w:gridSpan w:val="2"/>
                            <w:tcBorders/>
                            <w:tcMar>
                              <w:top w:w="0" w:type="dxa"/>
                              <w:left w:w="0" w:type="dxa"/>
                              <w:bottom w:w="0" w:type="dxa"/>
                              <w:right w:w="0" w:type="dxa"/>
                            </w:tcMar>
                            <w:vAlign w:val="center"/>
                          </w:tcPr>
                          <w:p>
                            <w:pPr>
                              <w:pStyle w:val="TableContents"/>
                              <w:pBdr/>
                              <w:bidi w:val="0"/>
                              <w:spacing w:before="0" w:after="283"/>
                              <w:ind w:left="0" w:right="0" w:hanging="259"/>
                              <w:jc w:val="both"/>
                              <w:rPr>
                                <w:rFonts w:ascii="sans-serif" w:hAnsi="sans-serif"/>
                                <w:color w:val="000000"/>
                                <w:sz w:val="15"/>
                              </w:rPr>
                            </w:pPr>
                            <w:r>
                              <w:rPr>
                                <w:rFonts w:ascii="sans-serif" w:hAnsi="sans-serif"/>
                                <w:color w:val="000000"/>
                                <w:sz w:val="15"/>
                              </w:rPr>
                              <w:t>1. To elect two Class II directors to our Board of Directors, to serve until the 2029 annual meeting of stockholders and until their successor has been duly elected and qualified, or until their earlier death, resignation or removal;</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9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ind w:left="0" w:right="0" w:firstLine="259"/>
                              <w:jc w:val="left"/>
                              <w:rPr/>
                            </w:pPr>
                            <w:r>
                              <w:rPr/>
                              <w:t> </w:t>
                            </w:r>
                          </w:p>
                        </w:tc>
                        <w:tc>
                          <w:tcPr>
                            <w:tcW w:w="5782" w:type="dxa"/>
                            <w:gridSpan w:val="2"/>
                            <w:tcBorders/>
                            <w:tcMar>
                              <w:top w:w="0" w:type="dxa"/>
                              <w:left w:w="0" w:type="dxa"/>
                              <w:bottom w:w="0" w:type="dxa"/>
                              <w:right w:w="0" w:type="dxa"/>
                            </w:tcMar>
                            <w:vAlign w:val="center"/>
                          </w:tcPr>
                          <w:p>
                            <w:pPr>
                              <w:pStyle w:val="TableContents"/>
                              <w:bidi w:val="0"/>
                              <w:spacing w:before="0" w:after="283"/>
                              <w:ind w:left="259" w:right="0" w:firstLine="259"/>
                              <w:jc w:val="left"/>
                              <w:rPr>
                                <w:rFonts w:ascii="sans-serif" w:hAnsi="sans-serif"/>
                                <w:b/>
                                <w:color w:val="000000"/>
                                <w:sz w:val="15"/>
                              </w:rPr>
                            </w:pPr>
                            <w:r>
                              <w:rPr>
                                <w:rFonts w:ascii="sans-serif" w:hAnsi="sans-serif"/>
                                <w:b/>
                                <w:color w:val="000000"/>
                                <w:sz w:val="15"/>
                              </w:rPr>
                              <w:t>Nominees:</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ind w:left="0" w:right="0" w:firstLine="259"/>
                              <w:jc w:val="left"/>
                              <w:rPr/>
                            </w:pPr>
                            <w:r>
                              <w:rPr/>
                              <w:t> </w:t>
                            </w:r>
                          </w:p>
                        </w:tc>
                        <w:tc>
                          <w:tcPr>
                            <w:tcW w:w="5782" w:type="dxa"/>
                            <w:gridSpan w:val="2"/>
                            <w:tcBorders/>
                            <w:tcMar>
                              <w:top w:w="0" w:type="dxa"/>
                              <w:left w:w="0" w:type="dxa"/>
                              <w:bottom w:w="0" w:type="dxa"/>
                              <w:right w:w="0" w:type="dxa"/>
                            </w:tcMar>
                            <w:vAlign w:val="center"/>
                          </w:tcPr>
                          <w:p>
                            <w:pPr>
                              <w:pStyle w:val="TableContents"/>
                              <w:bidi w:val="0"/>
                              <w:spacing w:before="0" w:after="283"/>
                              <w:ind w:left="259" w:right="0" w:firstLine="259"/>
                              <w:jc w:val="left"/>
                              <w:rPr>
                                <w:rFonts w:ascii="sans-serif" w:hAnsi="sans-serif"/>
                                <w:color w:val="000000"/>
                                <w:sz w:val="15"/>
                              </w:rPr>
                            </w:pPr>
                            <w:r>
                              <w:rPr>
                                <w:rFonts w:ascii="sans-serif" w:hAnsi="sans-serif"/>
                                <w:color w:val="000000"/>
                                <w:sz w:val="15"/>
                              </w:rPr>
                              <w:t>01) David Johnson</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ind w:left="0" w:right="0" w:firstLine="259"/>
                              <w:jc w:val="left"/>
                              <w:rPr/>
                            </w:pPr>
                            <w:r>
                              <w:rPr/>
                              <w:t> </w:t>
                            </w:r>
                          </w:p>
                        </w:tc>
                        <w:tc>
                          <w:tcPr>
                            <w:tcW w:w="5782" w:type="dxa"/>
                            <w:gridSpan w:val="2"/>
                            <w:tcBorders/>
                            <w:tcMar>
                              <w:top w:w="0" w:type="dxa"/>
                              <w:left w:w="0" w:type="dxa"/>
                              <w:bottom w:w="0" w:type="dxa"/>
                              <w:right w:w="0" w:type="dxa"/>
                            </w:tcMar>
                            <w:vAlign w:val="center"/>
                          </w:tcPr>
                          <w:p>
                            <w:pPr>
                              <w:pStyle w:val="TableContents"/>
                              <w:bidi w:val="0"/>
                              <w:spacing w:before="0" w:after="283"/>
                              <w:ind w:left="259" w:right="0" w:firstLine="259"/>
                              <w:jc w:val="left"/>
                              <w:rPr>
                                <w:rFonts w:ascii="sans-serif" w:hAnsi="sans-serif"/>
                                <w:color w:val="000000"/>
                                <w:sz w:val="15"/>
                              </w:rPr>
                            </w:pPr>
                            <w:r>
                              <w:rPr>
                                <w:rFonts w:ascii="sans-serif" w:hAnsi="sans-serif"/>
                                <w:color w:val="000000"/>
                                <w:sz w:val="15"/>
                              </w:rPr>
                              <w:t>02) Teresa Marie Bitetti</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550" w:type="dxa"/>
                            <w:gridSpan w:val="10"/>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5"/>
                              </w:rPr>
                            </w:pPr>
                            <w:r>
                              <w:rPr>
                                <w:rFonts w:ascii="sans-serif" w:hAnsi="sans-serif"/>
                                <w:b/>
                                <w:color w:val="000000"/>
                                <w:sz w:val="15"/>
                              </w:rPr>
                              <w:t>The Board of Directors recommends you vote FOR the following proposal:</w:t>
                            </w:r>
                          </w:p>
                        </w:tc>
                        <w:tc>
                          <w:tcPr>
                            <w:tcW w:w="39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For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Against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Abstain</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550" w:type="dxa"/>
                            <w:gridSpan w:val="10"/>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5"/>
                              </w:rPr>
                            </w:pPr>
                            <w:r>
                              <w:rPr>
                                <w:rFonts w:ascii="sans-serif" w:hAnsi="sans-serif"/>
                                <w:color w:val="000000"/>
                                <w:sz w:val="15"/>
                              </w:rPr>
                              <w:t>2. To ratify the appointment of Ernst &amp; Young LLP as our independent registered public accounting firm for the fiscal year ending December 31, 2026.</w:t>
                            </w:r>
                          </w:p>
                        </w:tc>
                        <w:tc>
                          <w:tcPr>
                            <w:tcW w:w="3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9785" w:type="dxa"/>
                            <w:gridSpan w:val="15"/>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sans-serif" w:hAnsi="sans-serif"/>
                                <w:b/>
                                <w:color w:val="000000"/>
                                <w:sz w:val="15"/>
                              </w:rPr>
                              <w:t>NOTE:</w:t>
                            </w:r>
                            <w:r>
                              <w:rPr>
                                <w:rFonts w:ascii="Times New Roman" w:hAnsi="Times New Roman"/>
                                <w:color w:val="000000"/>
                                <w:sz w:val="15"/>
                              </w:rPr>
                              <w:t> </w:t>
                            </w:r>
                            <w:r>
                              <w:rPr>
                                <w:rFonts w:ascii="sans-serif" w:hAnsi="sans-serif"/>
                                <w:color w:val="000000"/>
                                <w:sz w:val="15"/>
                              </w:rPr>
                              <w:t>Such other business as may properly come before the meeting or any adjournment thereof.</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8"/>
                            <w:vMerge w:val="restart"/>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5"/>
                              </w:rPr>
                            </w:pPr>
                            <w:r>
                              <w:rPr>
                                <w:rFonts w:ascii="sans-serif" w:hAnsi="sans-serif"/>
                                <w:color w:val="000000"/>
                                <w:sz w:val="15"/>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8"/>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8"/>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58" w:type="dxa"/>
                            <w:gridSpan w:val="8"/>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3048" w:type="dxa"/>
                            <w:tcBorders/>
                            <w:tcMar>
                              <w:top w:w="0" w:type="dxa"/>
                              <w:left w:w="0" w:type="dxa"/>
                              <w:bottom w:w="0" w:type="dxa"/>
                              <w:right w:w="0" w:type="dxa"/>
                            </w:tcMar>
                            <w:vAlign w:val="center"/>
                          </w:tcPr>
                          <w:p>
                            <w:pPr>
                              <w:pStyle w:val="TableContents"/>
                              <w:bidi w:val="0"/>
                              <w:spacing w:before="0" w:after="283"/>
                              <w:jc w:val="left"/>
                              <w:rPr/>
                            </w:pPr>
                            <w:r>
                              <w:rPr/>
                              <w:t> </w:t>
                            </w:r>
                          </w:p>
                        </w:tc>
                        <w:tc>
                          <w:tcPr>
                            <w:tcW w:w="27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81" w:type="dxa"/>
                        <w:jc w:val="left"/>
                        <w:tblInd w:w="0" w:type="dxa"/>
                        <w:tblLayout w:type="fixed"/>
                        <w:tblCellMar>
                          <w:top w:w="28" w:type="dxa"/>
                          <w:left w:w="28" w:type="dxa"/>
                          <w:bottom w:w="28" w:type="dxa"/>
                          <w:right w:w="28" w:type="dxa"/>
                        </w:tblCellMar>
                      </w:tblPr>
                      <w:tblGrid>
                        <w:gridCol w:w="2926"/>
                        <w:gridCol w:w="586"/>
                        <w:gridCol w:w="146"/>
                        <w:gridCol w:w="1906"/>
                        <w:gridCol w:w="52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58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5"/>
                              </w:rPr>
                            </w:pPr>
                            <w:r>
                              <w:rPr>
                                <w:rFonts w:ascii="sans-serif" w:hAnsi="sans-serif"/>
                                <w:color w:val="000000"/>
                                <w:sz w:val="15"/>
                              </w:rPr>
                              <w:t>Signature [PLEASE SIGN WITHIN BOX]</w:t>
                            </w:r>
                          </w:p>
                        </w:tc>
                        <w:tc>
                          <w:tcPr>
                            <w:tcW w:w="5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5"/>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5"/>
                              </w:rPr>
                            </w:pPr>
                            <w:r>
                              <w:rPr>
                                <w:rFonts w:ascii="sans-serif" w:hAnsi="sans-serif"/>
                                <w:color w:val="000000"/>
                                <w:sz w:val="15"/>
                              </w:rPr>
                              <w:t>Signature (Joint Owners)</w:t>
                            </w:r>
                          </w:p>
                        </w:tc>
                        <w:tc>
                          <w:tcPr>
                            <w:tcW w:w="5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5"/>
                              </w:rPr>
                              <w:t>Date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xbxContent>
                </v:textbox>
                <w10:wrap type="none"/>
              </v:rect>
            </w:pict>
          </mc:Fallback>
        </mc:AlternateConten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sz w:val="20"/>
        </w:rPr>
      </w:pPr>
      <w:r>
        <w:rPr>
          <w:rFonts w:ascii="Times New Roman" w:hAnsi="Times New Roman"/>
          <w:b/>
          <w:color w:val="000000"/>
          <w:sz w:val="36"/>
        </w:rPr>
        <w:t>SCHEDULE 14A</w:t>
      </w:r>
      <w:r>
        <w:rPr>
          <w:rFonts w:ascii="Times New Roman" w:hAnsi="Times New Roman"/>
          <w:color w:val="000000"/>
          <w:sz w:val="20"/>
        </w:rPr>
        <w:t xml:space="preserve"> </w:t>
      </w:r>
      <w:r>
        <w:rPr>
          <w:rFonts w:ascii="Times New Roman" w:hAnsi="Times New Roman"/>
          <w:b/>
          <w:color w:val="000000"/>
          <w:sz w:val="36"/>
        </w:rPr>
        <w:t>INFORMATION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7303" w:type="dxa"/>
        <w:jc w:val="left"/>
        <w:tblInd w:w="0" w:type="dxa"/>
        <w:tblLayout w:type="fixed"/>
        <w:tblCellMar>
          <w:top w:w="28" w:type="dxa"/>
          <w:left w:w="28" w:type="dxa"/>
          <w:bottom w:w="28" w:type="dxa"/>
          <w:right w:w="28" w:type="dxa"/>
        </w:tblCellMar>
      </w:tblPr>
      <w:tblGrid>
        <w:gridCol w:w="331"/>
        <w:gridCol w:w="146"/>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§240.14a-12</w:t>
            </w:r>
          </w:p>
        </w:tc>
      </w:tr>
    </w:tbl>
    <w:p>
      <w:pPr>
        <w:pStyle w:val="TextBody"/>
        <w:bidi w:val="0"/>
        <w:jc w:val="left"/>
        <w:rPr/>
      </w:pPr>
      <w:r>
        <w:rPr/>
        <w:t> </w:t>
      </w:r>
    </w:p>
    <w:p>
      <w:pPr>
        <w:pStyle w:val="TextBody"/>
        <w:pBdr>
          <w:bottom w:val="single" w:sz="4" w:space="1" w:color="000000"/>
        </w:pBdr>
        <w:bidi w:val="0"/>
        <w:spacing w:before="240" w:after="283"/>
        <w:jc w:val="center"/>
        <w:rPr>
          <w:rFonts w:ascii="Times New Roman" w:hAnsi="Times New Roman"/>
          <w:b/>
          <w:color w:val="000000"/>
          <w:sz w:val="40"/>
        </w:rPr>
      </w:pPr>
      <w:r>
        <w:rPr>
          <w:rFonts w:ascii="Times New Roman" w:hAnsi="Times New Roman"/>
          <w:b/>
          <w:color w:val="000000"/>
          <w:sz w:val="40"/>
        </w:rPr>
        <w:t>AURA BIOSCIENCES,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48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pPr>
      <w:r>
        <w:rPr/>
        <w:t> </w:t>
      </w:r>
    </w:p>
    <w:tbl>
      <w:tblPr>
        <w:tblW w:w="9328" w:type="dxa"/>
        <w:jc w:val="left"/>
        <w:tblInd w:w="0" w:type="dxa"/>
        <w:tblLayout w:type="fixed"/>
        <w:tblCellMar>
          <w:top w:w="28" w:type="dxa"/>
          <w:left w:w="28" w:type="dxa"/>
          <w:bottom w:w="28" w:type="dxa"/>
          <w:right w:w="28" w:type="dxa"/>
        </w:tblCellMar>
      </w:tblPr>
      <w:tblGrid>
        <w:gridCol w:w="331"/>
        <w:gridCol w:w="626"/>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2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371" w:type="dxa"/>
            <w:tcBorders/>
            <w:tcMar>
              <w:top w:w="0" w:type="dxa"/>
              <w:left w:w="0" w:type="dxa"/>
              <w:bottom w:w="0" w:type="dxa"/>
              <w:right w:w="0" w:type="dxa"/>
            </w:tcMar>
            <w:vAlign w:val="center"/>
          </w:tcPr>
          <w:p>
            <w:pPr>
              <w:pStyle w:val="TableContents"/>
              <w:pBdr/>
              <w:bidi w:val="0"/>
              <w:spacing w:before="0" w:after="283"/>
              <w:ind w:left="0" w:right="0" w:hanging="480"/>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2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371" w:type="dxa"/>
            <w:tcBorders/>
            <w:tcMar>
              <w:top w:w="0" w:type="dxa"/>
              <w:left w:w="0" w:type="dxa"/>
              <w:bottom w:w="0" w:type="dxa"/>
              <w:right w:w="0" w:type="dxa"/>
            </w:tcMar>
            <w:vAlign w:val="center"/>
          </w:tcPr>
          <w:p>
            <w:pPr>
              <w:pStyle w:val="TableContents"/>
              <w:pBdr/>
              <w:bidi w:val="0"/>
              <w:spacing w:before="0" w:after="283"/>
              <w:ind w:left="0" w:right="0" w:hanging="480"/>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26"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8371" w:type="dxa"/>
            <w:tcBorders/>
            <w:tcMar>
              <w:top w:w="0" w:type="dxa"/>
              <w:left w:w="0" w:type="dxa"/>
              <w:bottom w:w="0" w:type="dxa"/>
              <w:right w:w="0" w:type="dxa"/>
            </w:tcMar>
            <w:vAlign w:val="center"/>
          </w:tcPr>
          <w:p>
            <w:pPr>
              <w:pStyle w:val="TableContents"/>
              <w:pBdr/>
              <w:bidi w:val="0"/>
              <w:spacing w:before="0" w:after="283"/>
              <w:ind w:left="0" w:right="0" w:hanging="480"/>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drawing>
          <wp:inline distT="0" distB="0" distL="0" distR="0">
            <wp:extent cx="1952625" cy="4953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6"/>
                    <a:stretch>
                      <a:fillRect/>
                    </a:stretch>
                  </pic:blipFill>
                  <pic:spPr bwMode="auto">
                    <a:xfrm>
                      <a:off x="0" y="0"/>
                      <a:ext cx="1952625" cy="495300"/>
                    </a:xfrm>
                    <a:prstGeom prst="rect">
                      <a:avLst/>
                    </a:prstGeom>
                  </pic:spPr>
                </pic:pic>
              </a:graphicData>
            </a:graphic>
          </wp:inline>
        </w:drawing>
      </w:r>
    </w:p>
    <w:p>
      <w:pPr>
        <w:pStyle w:val="TextBody"/>
        <w:bidi w:val="0"/>
        <w:spacing w:before="240" w:after="283"/>
        <w:jc w:val="center"/>
        <w:rPr>
          <w:rFonts w:ascii="Times New Roman" w:hAnsi="Times New Roman"/>
          <w:sz w:val="20"/>
        </w:rPr>
      </w:pPr>
      <w:r>
        <w:rPr>
          <w:rFonts w:ascii="Times New Roman" w:hAnsi="Times New Roman"/>
          <w:b/>
          <w:color w:val="000000"/>
          <w:sz w:val="20"/>
        </w:rPr>
        <w:t>AURA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80 Guest Street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Boston, MA 02135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NOTICE OF 2026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June 11, 2026</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Notice is hereby given that the 2026 Annual Meeting of Stockholders, or Annual Meeting, of Aura Biosciences, Inc., will be held online on June 11, 2026 at 9:30 a.m. Eastern Time. This year’s Annual Meeting will be held virtually. You may attend the meeting virtually via the Internet at www.virtualshareholdermeeting.com/AURA2026 where you will be able to vote electronically and submit questions. You will need the 16-digit control number included with the Notice of Internet Availability of Proxy Materials being mailed to you separately in order to attend the Annual Meeting. The purpose of the Annual Meeting is the following: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elect two Class II directors to our Board of Directors, to serve until the 2029 annual meeting of stockholders and until their successor has been duly elected and qualified, or until their earlier death, resignation or removal;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ratify the appointment of Ernst &amp; Young LLP as our independent registered public accounting firm for the fiscal year ending December 31, 2026;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transact any other business properly brought before the Annual Meeting or any adjournment or postponement of the Annual Meeting.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proposal for the election of directors relates solely to the election of two Class II directors nominated by the Board of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Only Aura Biosciences, Inc. stockholders of record at the close of business on April 15, 2026, will be entitled to vote at the Annual Meeting and any adjournment or postponement thereof.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Aura Biosciences, Inc. is following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to Stockholders for the fiscal year ended December 31, 2025, or 2025 Annual Report. We plan to mail the Notice on or about April 20, 2026 and it contains instructions on how to access both the 2025 Annual Report and accompanying proxy statement over the Internet. This method provides our stockholders with expedited access to proxy materials and not only lowers the cost of printing and distribution but also reduces the environmental impact of the Annual Meeting. If you would like to receive a print version of the proxy materials, free of charge, please follow the instructions on the Notice.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Please see the “General Information” section of the proxy statement that accompanies this notice for more details regarding the logistics of the virtual Annual Meeting, including the ability of stockholders to submit questions during the Annual Meeting, and technical details and support related to accessing the virtual platform.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Your vote is important. Whether or not you expect to attend the virtual meeting, it is important that your shares be represented. To ensure that your vote is recorded promptly, please vote as soon as possible, even if you plan to attend the meeting, by submitting your proxy via the Internet at the address listed on the proxy card or the Notice, or by signing, dating and returning the proxy card. Even if you have voted by proxy, you may still vote at the virtual meeting. Please note, however, that if your shares are held through a broker, bank or other nominee and you wish to vote at the meeting, you must obtain a proxy issued in your name from that record 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order of the Board of Directors,</w:t>
      </w:r>
    </w:p>
    <w:p>
      <w:pPr>
        <w:pStyle w:val="TextBody"/>
        <w:pBdr>
          <w:bottom w:val="single" w:sz="4" w:space="1" w:color="000000"/>
        </w:pBdr>
        <w:bidi w:val="0"/>
        <w:spacing w:before="100" w:after="283"/>
        <w:ind w:left="0" w:right="7200" w:hanging="0"/>
        <w:jc w:val="left"/>
        <w:rPr>
          <w:rFonts w:ascii="Times New Roman" w:hAnsi="Times New Roman"/>
          <w:color w:val="000000"/>
          <w:sz w:val="20"/>
        </w:rPr>
      </w:pPr>
      <w:r>
        <w:rPr>
          <w:rFonts w:ascii="Times New Roman" w:hAnsi="Times New Roman"/>
          <w:color w:val="000000"/>
          <w:sz w:val="20"/>
        </w:rPr>
        <w:t>/s/ Elisabet de los Pinos</w:t>
      </w:r>
    </w:p>
    <w:p>
      <w:pPr>
        <w:pStyle w:val="TextBody"/>
        <w:bidi w:val="0"/>
        <w:jc w:val="left"/>
        <w:rPr>
          <w:rFonts w:ascii="Times New Roman" w:hAnsi="Times New Roman"/>
          <w:color w:val="000000"/>
          <w:sz w:val="20"/>
        </w:rPr>
      </w:pPr>
      <w:r>
        <w:rPr>
          <w:rFonts w:ascii="Times New Roman" w:hAnsi="Times New Roman"/>
          <w:color w:val="000000"/>
          <w:sz w:val="20"/>
        </w:rPr>
        <w:t>Elisabet de los Pinos, Ph.D.</w:t>
      </w:r>
    </w:p>
    <w:p>
      <w:pPr>
        <w:pStyle w:val="TextBody"/>
        <w:bidi w:val="0"/>
        <w:jc w:val="left"/>
        <w:rPr>
          <w:rFonts w:ascii="Times New Roman" w:hAnsi="Times New Roman"/>
          <w:i/>
          <w:color w:val="000000"/>
          <w:sz w:val="20"/>
        </w:rPr>
      </w:pPr>
      <w:r>
        <w:rPr>
          <w:rFonts w:ascii="Times New Roman" w:hAnsi="Times New Roman"/>
          <w:i/>
          <w:color w:val="000000"/>
          <w:sz w:val="20"/>
        </w:rPr>
        <w:t>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w:t>
      </w:r>
    </w:p>
    <w:p>
      <w:pPr>
        <w:pStyle w:val="TextBody"/>
        <w:bidi w:val="0"/>
        <w:jc w:val="left"/>
        <w:rPr>
          <w:rFonts w:ascii="Times New Roman" w:hAnsi="Times New Roman"/>
          <w:color w:val="000000"/>
          <w:sz w:val="20"/>
        </w:rPr>
      </w:pPr>
      <w:r>
        <w:rPr>
          <w:rFonts w:ascii="Times New Roman" w:hAnsi="Times New Roman"/>
          <w:color w:val="000000"/>
          <w:sz w:val="20"/>
        </w:rPr>
        <w:t>April 20, 2026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94"/>
        <w:gridCol w:w="511"/>
      </w:tblGrid>
      <w:tr>
        <w:trPr/>
        <w:tc>
          <w:tcPr>
            <w:tcW w:w="969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6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proxy_statement">
              <w:r>
                <w:rPr>
                  <w:rStyle w:val="InternetLink"/>
                  <w:rFonts w:ascii="Times New Roman" w:hAnsi="Times New Roman"/>
                  <w:color w:val="0000FF"/>
                  <w:sz w:val="20"/>
                  <w:u w:val="single"/>
                </w:rPr>
                <w:t>PROXY STATEMENT FOR THE 2026 ANNUAL MEETING OF STOCKHOLDERS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general_information">
              <w:r>
                <w:rPr>
                  <w:rStyle w:val="InternetLink"/>
                  <w:rFonts w:ascii="Times New Roman" w:hAnsi="Times New Roman"/>
                  <w:color w:val="0000FF"/>
                  <w:sz w:val="20"/>
                  <w:u w:val="single"/>
                </w:rPr>
                <w:t>GENERAL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proposal_no_1_election_of_class_iii_dir">
              <w:r>
                <w:rPr>
                  <w:rStyle w:val="InternetLink"/>
                  <w:rFonts w:ascii="Times New Roman" w:hAnsi="Times New Roman"/>
                  <w:color w:val="0000FF"/>
                  <w:sz w:val="20"/>
                  <w:u w:val="single"/>
                </w:rPr>
                <w:t>PROPOSAL NO. 1 – ELECTION OF CLASS II DIRECTORS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proposal_no_2_ey_ratification">
              <w:r>
                <w:rPr>
                  <w:rStyle w:val="InternetLink"/>
                  <w:rFonts w:ascii="Times New Roman" w:hAnsi="Times New Roman"/>
                  <w:color w:val="0000FF"/>
                  <w:sz w:val="20"/>
                  <w:u w:val="single"/>
                </w:rPr>
                <w:t>PROPOSAL NO. 2 – RATIFICATION OF THE APPOINTMENT OF ERNST &amp; YOUNG LLP AS AURA BIOSCIENCES, INC.’S INDEPENDENT REGISTERED PUBLIC ACCOUNTING FIRM FOR THE FISCAL YEAR ENDING DECEMBER 31, 2026</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corporate_governance">
              <w:r>
                <w:rPr>
                  <w:rStyle w:val="InternetLink"/>
                  <w:rFonts w:ascii="Times New Roman" w:hAnsi="Times New Roman"/>
                  <w:color w:val="0000FF"/>
                  <w:sz w:val="20"/>
                  <w:u w:val="single"/>
                </w:rPr>
                <w:t>CORPORATE GOVERNANCE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non_employee_director_compensation">
              <w:r>
                <w:rPr>
                  <w:rStyle w:val="InternetLink"/>
                  <w:rFonts w:ascii="Times New Roman" w:hAnsi="Times New Roman"/>
                  <w:color w:val="0000FF"/>
                  <w:sz w:val="20"/>
                  <w:u w:val="single"/>
                </w:rPr>
                <w:t>NON-EMPLOYEE DIRECTOR COMPENSATION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executive_officers">
              <w:r>
                <w:rPr>
                  <w:rStyle w:val="InternetLink"/>
                  <w:rFonts w:ascii="Times New Roman" w:hAnsi="Times New Roman"/>
                  <w:color w:val="0000FF"/>
                  <w:sz w:val="20"/>
                  <w:u w:val="single"/>
                </w:rPr>
                <w:t>EXECUTIVE OFFICERS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certain_relationships_and_related_party">
              <w:r>
                <w:rPr>
                  <w:rStyle w:val="InternetLink"/>
                  <w:rFonts w:ascii="Times New Roman" w:hAnsi="Times New Roman"/>
                  <w:color w:val="0000FF"/>
                  <w:sz w:val="20"/>
                  <w:u w:val="single"/>
                </w:rPr>
                <w:t>CERTAIN RELATIONSHIPS AND RELATED PARTY TRANSACTIONS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principal_stockholders">
              <w:r>
                <w:rPr>
                  <w:rStyle w:val="InternetLink"/>
                  <w:rFonts w:ascii="Times New Roman" w:hAnsi="Times New Roman"/>
                  <w:color w:val="0000FF"/>
                  <w:sz w:val="20"/>
                  <w:u w:val="single"/>
                </w:rPr>
                <w:t>PRINCIPAL STOCKHOLDERS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report_of_the_audit_committee">
              <w:r>
                <w:rPr>
                  <w:rStyle w:val="InternetLink"/>
                  <w:rFonts w:ascii="Times New Roman" w:hAnsi="Times New Roman"/>
                  <w:color w:val="0000FF"/>
                  <w:sz w:val="20"/>
                  <w:u w:val="single"/>
                </w:rPr>
                <w:t>REPORT OF THE AUDIT COMMITTEE</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householding">
              <w:r>
                <w:rPr>
                  <w:rStyle w:val="InternetLink"/>
                  <w:rFonts w:ascii="Times New Roman" w:hAnsi="Times New Roman"/>
                  <w:color w:val="0000FF"/>
                  <w:sz w:val="20"/>
                  <w:u w:val="single"/>
                </w:rPr>
                <w:t>HOUSEHOLDING</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stockholder_proposals">
              <w:r>
                <w:rPr>
                  <w:rStyle w:val="InternetLink"/>
                  <w:rFonts w:ascii="Times New Roman" w:hAnsi="Times New Roman"/>
                  <w:color w:val="0000FF"/>
                  <w:sz w:val="20"/>
                  <w:u w:val="single"/>
                </w:rPr>
                <w:t>STOCKHOLDER PROPOSALS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Times New Roman" w:hAnsi="Times New Roman"/>
                  <w:color w:val="0000FF"/>
                  <w:sz w:val="20"/>
                  <w:u w:val="single"/>
                </w:rPr>
                <w:t>OTHER MATTERS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1952625" cy="4953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7"/>
                    <a:stretch>
                      <a:fillRect/>
                    </a:stretch>
                  </pic:blipFill>
                  <pic:spPr bwMode="auto">
                    <a:xfrm>
                      <a:off x="0" y="0"/>
                      <a:ext cx="1952625" cy="4953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AURA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80 Guest Street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Boston, MA 02135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 w:name="proxy_statement"/>
      <w:bookmarkEnd w:id="3"/>
      <w:r>
        <w:rPr>
          <w:rFonts w:ascii="Times New Roman" w:hAnsi="Times New Roman"/>
          <w:b/>
          <w:color w:val="000000"/>
          <w:sz w:val="20"/>
        </w:rPr>
        <w:t>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2026 ANNUAL MEETING OF STOCKHOLDERS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TO BE HELD JUNE 11, 2026</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proxy statement contains information about the 2026 Annual Meeting of Stockholders, or the Annual Meeting, of Aura Biosciences, Inc., which will be held online on June 11, 2026 at 9:30 a.m. Eastern Time. This year’s Annual Meeting will be held virtually. You may attend the Annual Meeting virtually via the Internet at www.virtualshareholdermeeting.com/AURA2026, where you will be able to vote electronically and submit questions. You will need the 16-digit control number included with the Notice of Internet Availability of Proxy Materials, or Notice, or proxy card being mailed to you separately in order to attend the Annual Meeting. The board of directors of Aura Biosciences, Inc., or the Board of Directors, is using this proxy statement to solicit proxies for use at the Annual Meeting. In this proxy statement, the terms “Aura,” “Aura Biosciences,” the “Company,” “we,” “us,” and “our” refer to Aura Biosciences, Inc. The mailing address of our principal executive offices is Aura Biosciences, Inc., 80 Guest Street, Boston, MA 02135.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proxy statement and our 2025 Annual Report to Stockholders for the fiscal year ended December 31, 2025, or the 2025 Annual Report, are first being made available to stockholders on or about April 20,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our initial public offering in November 2021;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 </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 Regarding the Availability of Proxy Materials for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Annual Meeting of Stockholders to be Held on June 11,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This proxy statement and our 2025 Annual Report to Stockholders are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 xml:space="preserve">available for viewing, printing and downloading at </w:t>
      </w:r>
      <w:r>
        <w:rPr>
          <w:rFonts w:ascii="Times New Roman" w:hAnsi="Times New Roman"/>
          <w:b/>
          <w:i/>
          <w:color w:val="000000"/>
          <w:sz w:val="20"/>
        </w:rPr>
        <w:t>www.ProxyVote.com/</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A copy of this proxy statement and our 2025 Annual Report, as filed with the SEC, except for exhibits, will be furnished without charge to any stockholder upon written request to Aura Biosciences, Inc., 80 Guest Street, Boston, MA 02135, Attention: Corporate Secretary. This proxy statement and our 2025 Annual Report are also available on the SEC’s website at</w:t>
      </w:r>
      <w:r>
        <w:rPr>
          <w:rFonts w:ascii="Times New Roman" w:hAnsi="Times New Roman"/>
          <w:color w:val="000000"/>
          <w:sz w:val="20"/>
        </w:rPr>
        <w:t xml:space="preserve"> </w:t>
      </w:r>
      <w:r>
        <w:rPr>
          <w:rFonts w:ascii="Times New Roman" w:hAnsi="Times New Roman"/>
          <w:b/>
          <w:i/>
          <w:color w:val="000000"/>
          <w:sz w:val="20"/>
        </w:rPr>
        <w:t>www.sec.gov</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AURA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2026 ANNUAL MEETING OF STOCKHOLDERS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general_information"/>
      <w:bookmarkEnd w:id="4"/>
      <w:r>
        <w:rPr>
          <w:rFonts w:ascii="Times New Roman" w:hAnsi="Times New Roman"/>
          <w:b/>
          <w:color w:val="000000"/>
          <w:sz w:val="20"/>
        </w:rPr>
        <w:t>GENERAL INFORMATION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Why are you holding a virtual Annual Meeting?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implemented the virtual format in order to facilitate stockholder attendance at our Annual Meeting.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w:t>
      </w:r>
    </w:p>
    <w:p>
      <w:pPr>
        <w:pStyle w:val="TextBody"/>
        <w:bidi w:val="0"/>
        <w:spacing w:before="360" w:after="283"/>
        <w:jc w:val="left"/>
        <w:rPr>
          <w:rFonts w:ascii="Times New Roman" w:hAnsi="Times New Roman"/>
          <w:sz w:val="20"/>
        </w:rPr>
      </w:pPr>
      <w:r>
        <w:rPr>
          <w:rFonts w:ascii="Times New Roman" w:hAnsi="Times New Roman"/>
          <w:b/>
          <w:color w:val="000000"/>
          <w:sz w:val="20"/>
        </w:rPr>
        <w:t>How do I attend and participate in the Annual Meeting online?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 attend and participate in the Annual Meeting, stockholders will need to access the live audio webcast of the meeting. To do so, stockholders of record will need to visit www.virtualshareholdermeeting.com/AURA2026 and use their control number provided in the Notice or proxy card being mailed to you to preregister to this website, and beneficial owners of shares held in street name will need to follow the same instructions. Registration will open 15 minutes prior to the meeting.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live audio webcast of the Annual Meeting will begin promptly at 9:30 a.m. Eastern Time. </w:t>
      </w:r>
    </w:p>
    <w:p>
      <w:pPr>
        <w:pStyle w:val="TextBody"/>
        <w:bidi w:val="0"/>
        <w:spacing w:before="360" w:after="283"/>
        <w:jc w:val="left"/>
        <w:rPr>
          <w:rFonts w:ascii="Times New Roman" w:hAnsi="Times New Roman"/>
          <w:sz w:val="20"/>
        </w:rPr>
      </w:pPr>
      <w:r>
        <w:rPr>
          <w:rFonts w:ascii="Times New Roman" w:hAnsi="Times New Roman"/>
          <w:b/>
          <w:color w:val="000000"/>
          <w:sz w:val="20"/>
        </w:rPr>
        <w:t>How can I get help if I have trouble checking in or listening to the meeting online?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will be a support number available on the login page of the virtual meeting 15 minutes before the meeting begins for any stockholders having technical difficulties. The technical support line will not be able to provide control numbers, but will be able to assist with any technical issues. </w:t>
      </w:r>
    </w:p>
    <w:p>
      <w:pPr>
        <w:pStyle w:val="TextBody"/>
        <w:bidi w:val="0"/>
        <w:spacing w:before="360" w:after="283"/>
        <w:jc w:val="left"/>
        <w:rPr>
          <w:rFonts w:ascii="Times New Roman" w:hAnsi="Times New Roman"/>
          <w:sz w:val="20"/>
        </w:rPr>
      </w:pPr>
      <w:r>
        <w:rPr>
          <w:rFonts w:ascii="Times New Roman" w:hAnsi="Times New Roman"/>
          <w:b/>
          <w:color w:val="000000"/>
          <w:sz w:val="20"/>
        </w:rPr>
        <w:t>When are this proxy statement and the accompanying materials scheduled to be sent to stockholders?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elected to provide access to our proxy materials to our stockholders via the Internet. Accordingly, on or about April 20, 2026, we will begin mailing the Notice. Our proxy materials, including the Notice, this proxy statement and the accompanying proxy card or, for shares held in street name (i.e., held for your account by a broker, bank or other nominee), a voting instruction form, and the 2025 Annual Report, will be mailed or made available to stockholders on the Internet beginning on or about the same date. </w:t>
      </w:r>
    </w:p>
    <w:p>
      <w:pPr>
        <w:pStyle w:val="TextBody"/>
        <w:bidi w:val="0"/>
        <w:spacing w:before="360" w:after="283"/>
        <w:jc w:val="left"/>
        <w:rPr>
          <w:rFonts w:ascii="Times New Roman" w:hAnsi="Times New Roman"/>
          <w:sz w:val="20"/>
        </w:rPr>
      </w:pPr>
      <w:r>
        <w:rPr>
          <w:rFonts w:ascii="Times New Roman" w:hAnsi="Times New Roman"/>
          <w:b/>
          <w:color w:val="000000"/>
          <w:sz w:val="20"/>
        </w:rPr>
        <w:t>Who is soliciting my vote?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Board of Directors is soliciting your vote for the Annual Meeting. </w:t>
      </w:r>
    </w:p>
    <w:p>
      <w:pPr>
        <w:pStyle w:val="TextBody"/>
        <w:bidi w:val="0"/>
        <w:spacing w:before="360" w:after="283"/>
        <w:jc w:val="left"/>
        <w:rPr>
          <w:rFonts w:ascii="Times New Roman" w:hAnsi="Times New Roman"/>
          <w:sz w:val="20"/>
        </w:rPr>
      </w:pPr>
      <w:r>
        <w:rPr>
          <w:rFonts w:ascii="Times New Roman" w:hAnsi="Times New Roman"/>
          <w:b/>
          <w:color w:val="000000"/>
          <w:sz w:val="20"/>
        </w:rPr>
        <w:t>When is the record date for the Annual Meeting?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record date for determination of stockholders entitled to vote at the Annual Meeting is the close of business on April 15, 2026. </w:t>
      </w:r>
    </w:p>
    <w:p>
      <w:pPr>
        <w:pStyle w:val="TextBody"/>
        <w:bidi w:val="0"/>
        <w:spacing w:before="360" w:after="283"/>
        <w:jc w:val="left"/>
        <w:rPr>
          <w:rFonts w:ascii="Times New Roman" w:hAnsi="Times New Roman"/>
          <w:sz w:val="20"/>
        </w:rPr>
      </w:pPr>
      <w:r>
        <w:rPr>
          <w:rFonts w:ascii="Times New Roman" w:hAnsi="Times New Roman"/>
          <w:b/>
          <w:color w:val="000000"/>
          <w:sz w:val="20"/>
        </w:rPr>
        <w:t>How many votes can be cast by all stockholders?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were 64,199,778 shares of our common stock, par value $0.00001 per share, outstanding on April 15, 2026,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shares of preferred stock were outstanding as of April 15, 2026. </w:t>
      </w:r>
    </w:p>
    <w:p>
      <w:pPr>
        <w:pStyle w:val="TextBody"/>
        <w:bidi w:val="0"/>
        <w:spacing w:before="360" w:after="283"/>
        <w:jc w:val="left"/>
        <w:rPr>
          <w:rFonts w:ascii="Times New Roman" w:hAnsi="Times New Roman"/>
          <w:sz w:val="20"/>
        </w:rPr>
      </w:pPr>
      <w:r>
        <w:rPr>
          <w:rFonts w:ascii="Times New Roman" w:hAnsi="Times New Roman"/>
          <w:b/>
          <w:color w:val="000000"/>
          <w:sz w:val="20"/>
        </w:rPr>
        <w:t>Who is entitled to vote?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Registered Stockholders</w:t>
      </w:r>
      <w:r>
        <w:rPr>
          <w:rFonts w:ascii="Times New Roman" w:hAnsi="Times New Roman"/>
          <w:color w:val="000000"/>
          <w:sz w:val="20"/>
        </w:rPr>
        <w:t xml:space="preserve">. 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xml:space="preserve">. 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 </w:t>
      </w:r>
    </w:p>
    <w:p>
      <w:pPr>
        <w:pStyle w:val="TextBody"/>
        <w:bidi w:val="0"/>
        <w:spacing w:before="360" w:after="283"/>
        <w:jc w:val="left"/>
        <w:rPr>
          <w:rFonts w:ascii="Times New Roman" w:hAnsi="Times New Roman"/>
          <w:sz w:val="20"/>
        </w:rPr>
      </w:pPr>
      <w:r>
        <w:rPr>
          <w:rFonts w:ascii="Times New Roman" w:hAnsi="Times New Roman"/>
          <w:b/>
          <w:color w:val="000000"/>
          <w:sz w:val="20"/>
        </w:rPr>
        <w:t>How do I vote?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you are a stockholder of record, there are four ways to vote: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By Internet</w:t>
      </w:r>
      <w:r>
        <w:rPr>
          <w:rFonts w:ascii="Times New Roman" w:hAnsi="Times New Roman"/>
          <w:color w:val="000000"/>
          <w:sz w:val="20"/>
        </w:rPr>
        <w:t xml:space="preserve">. You may vote at www.ProxyVote.com, 24 hours a day, seven days a week. Use the Internet to transmit your voting instructions and for electronic delivery of information up until 11:59 p.m. Eastern Time the day before the meeting date. You will need the control number included on your proxy card or Notice.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During the Annual Meeting</w:t>
      </w:r>
      <w:r>
        <w:rPr>
          <w:rFonts w:ascii="Times New Roman" w:hAnsi="Times New Roman"/>
          <w:color w:val="000000"/>
          <w:sz w:val="20"/>
        </w:rPr>
        <w:t xml:space="preserve">. You may vote during the Annual Meeting by going to www.virtualshareholdermeeting.com/AURA2026. You will need the control number included on your proxy card or Notice.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By Telephone</w:t>
      </w:r>
      <w:r>
        <w:rPr>
          <w:rFonts w:ascii="Times New Roman" w:hAnsi="Times New Roman"/>
          <w:color w:val="000000"/>
          <w:sz w:val="20"/>
        </w:rPr>
        <w:t xml:space="preserve">. You may vote using a touch-tone telephone by calling 1-800-690-6903, 24 hours a day, seven days a week. Use any touch-tone telephone to transmit your voting instructions up until 11:59 p.m. Eastern Time the day before the meeting date. You will need the control number included on your proxy card or Notice.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By Mail</w:t>
      </w:r>
      <w:r>
        <w:rPr>
          <w:rFonts w:ascii="Times New Roman" w:hAnsi="Times New Roman"/>
          <w:color w:val="000000"/>
          <w:sz w:val="20"/>
        </w:rPr>
        <w:t xml:space="preserve">. You may vote by completing and mailing your proxy card. Mark, sign and date your proxy card and return it in the postage-paid envelope we have provided or return it to Vote Processing, c/o Broadridge, 51 Mercedes Way, Edgewood, NY 11717.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Even if you plan to participate in our virtual Annual Meeting, we recommend that you also vote by proxy so that your vote will be counted if you later decide not to participate in the Annual Meeting.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 </w:t>
      </w:r>
    </w:p>
    <w:p>
      <w:pPr>
        <w:pStyle w:val="TextBody"/>
        <w:bidi w:val="0"/>
        <w:spacing w:before="360" w:after="283"/>
        <w:jc w:val="left"/>
        <w:rPr>
          <w:rFonts w:ascii="Times New Roman" w:hAnsi="Times New Roman"/>
          <w:sz w:val="20"/>
        </w:rPr>
      </w:pPr>
      <w:r>
        <w:rPr>
          <w:rFonts w:ascii="Times New Roman" w:hAnsi="Times New Roman"/>
          <w:b/>
          <w:i/>
          <w:color w:val="000000"/>
          <w:sz w:val="20"/>
        </w:rPr>
        <w:t>By Proxy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you will not be attending the Annual Meeting, you may vote by proxy. You can vote by proxy over the Internet by following the instructions provided in the Notice or the enclosed proxy card. Proxies submitted by mail must be received before the start of the Annual Meeting.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you complete and timely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How do I revoke my proxy?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You may revoke your proxy by (1) entering a new vote by mail that we receive before the start of the Annual Meeting or over the Internet or via telephone, (2) 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Aura Biosciences, Inc., 80 Guest Street, Boston, MA 02135, Attention: Corporate Secretary.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a broker, bank, or other nominee holds your shares, you must contact such broker, bank, or nominee in order to find out how to change your vote. </w:t>
      </w:r>
    </w:p>
    <w:p>
      <w:pPr>
        <w:pStyle w:val="TextBody"/>
        <w:bidi w:val="0"/>
        <w:spacing w:before="360" w:after="283"/>
        <w:jc w:val="left"/>
        <w:rPr>
          <w:rFonts w:ascii="Times New Roman" w:hAnsi="Times New Roman"/>
          <w:sz w:val="20"/>
        </w:rPr>
      </w:pPr>
      <w:r>
        <w:rPr>
          <w:rFonts w:ascii="Times New Roman" w:hAnsi="Times New Roman"/>
          <w:b/>
          <w:color w:val="000000"/>
          <w:sz w:val="20"/>
        </w:rPr>
        <w:t>How is a quorum reached?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Bylaws, or bylaws, provide that a majority of the shares entitled to vote, present in person or represented by proxy, will constitute a quorum for the transaction of business at the Annual Meeting.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Under the Delaware General Corporation Law, or the DGCL, shares that are voted “abstain” or “withheld” and broker “non-votes” are counted as present for purposes of determining whether a quorum is present at the Annual Meeting. If a quorum is not present, the meeting may be adjourned until a quorum is obtained. </w:t>
      </w:r>
    </w:p>
    <w:p>
      <w:pPr>
        <w:pStyle w:val="TextBody"/>
        <w:bidi w:val="0"/>
        <w:spacing w:before="360" w:after="283"/>
        <w:jc w:val="left"/>
        <w:rPr>
          <w:rFonts w:ascii="Times New Roman" w:hAnsi="Times New Roman"/>
          <w:sz w:val="20"/>
        </w:rPr>
      </w:pPr>
      <w:r>
        <w:rPr>
          <w:rFonts w:ascii="Times New Roman" w:hAnsi="Times New Roman"/>
          <w:b/>
          <w:color w:val="000000"/>
          <w:sz w:val="20"/>
        </w:rPr>
        <w:t>How is the vote counted?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our bylaws, any proposal other than an election of directors is decided by a majority of the votes properly cast for and against such proposal, except where a larger vote is required by law or by our Tenth Amended and Restated Certificate of Incorporation, as amended, or certificate of incorporation, or bylaws. To be approved, such proposals must receive “for” votes from a majority of the votes properly cast on such proposal. Abstentions and broker “non-votes”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your shares are held in “street name” by a brokerage firm, your brokerage firm is required to vote your shares according to your instructions. If you do not give instructions to your brokerage firm, the brokerage firm will still be able to vote your shares with respect to “discretionary” items, but will not be allowed to vote your shares with respect to “non-discretionary” items.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Proposal No. 1 is a “non-discretionary” item. If you do not instruct your broker how to vote with respect to this proposal, your broker may not vote for this proposal, and those shares will be counted as broker “non-votes.” Proposal No. 2 is considered to be a discretionary item, and your brokerage firm will be able to vote on this proposal even if it does not receive instructions from you.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be elected, the directors nominated via Proposal No. 1 must receive a plurality of the votes properly cast on the election of directors, meaning that the director nominees receiving the most “for” votes will be elected as directors. Votes that are “withheld” and broker non-votes will have no impact on the election of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ratify the appointment of Ernst &amp; Young LLP as the Company’s independent registered public accounting firm for the fiscal year ending December 31, 2026, Proposal No. 2 must receive “for” votes from a majority of the votes properly cast on such proposal. Abstentions and broker non-votes, if any, will have no impact on the outcome of this vote. </w:t>
      </w:r>
    </w:p>
    <w:p>
      <w:pPr>
        <w:pStyle w:val="TextBody"/>
        <w:bidi w:val="0"/>
        <w:spacing w:before="360" w:after="283"/>
        <w:jc w:val="left"/>
        <w:rPr>
          <w:rFonts w:ascii="Times New Roman" w:hAnsi="Times New Roman"/>
          <w:sz w:val="20"/>
        </w:rPr>
      </w:pPr>
      <w:r>
        <w:rPr>
          <w:rFonts w:ascii="Times New Roman" w:hAnsi="Times New Roman"/>
          <w:b/>
          <w:color w:val="000000"/>
          <w:sz w:val="20"/>
        </w:rPr>
        <w:t>Who pays the cost for soliciting proxies?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How may stockholders submit matters for consideration at an Annual Meeting?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any stockholder proposal intended to be included in the proxy statement for the next annual meeting of our stockholders in 2027 must also satisfy the requirements of SEC Rule 14a-8 under the Exchange Act and be received not later than December 21, 2026.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comply with the universal proxy rules, stockholders who intend to solicit proxies in support of director nominees other than the Company’s nominees must provide notice that sets forth the information required by Rule 14a-19 under the Exchange Act no later than April 12, 2027. Stockholder proposals and the required notice should be addressed to Aura Biosciences, Inc., 80 Guest Street, Boston, MA 02135, Attention: Corporate Secretary. We also encourage any such proposal be submitted via email to proxy@aurabiosciences.com. </w:t>
      </w:r>
    </w:p>
    <w:p>
      <w:pPr>
        <w:pStyle w:val="TextBody"/>
        <w:bidi w:val="0"/>
        <w:spacing w:before="360" w:after="283"/>
        <w:jc w:val="left"/>
        <w:rPr>
          <w:rFonts w:ascii="Times New Roman" w:hAnsi="Times New Roman"/>
          <w:sz w:val="20"/>
        </w:rPr>
      </w:pPr>
      <w:r>
        <w:rPr>
          <w:rFonts w:ascii="Times New Roman" w:hAnsi="Times New Roman"/>
          <w:b/>
          <w:color w:val="000000"/>
          <w:sz w:val="20"/>
        </w:rPr>
        <w:t>How can I find out the results of the voting at the Annual Meeting?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5" w:name="proposal_no_1_election_of_class_iii_dir"/>
      <w:bookmarkEnd w:id="5"/>
      <w:r>
        <w:rPr>
          <w:rFonts w:ascii="Times New Roman" w:hAnsi="Times New Roman"/>
          <w:b/>
          <w:color w:val="000000"/>
          <w:sz w:val="20"/>
        </w:rPr>
        <w:t>PROPOSAL NO. 1 – ELECTION OF CLASS II DIRECTORS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Board of Directors currently consists of seven members. In accordance with the terms of our certificate of incorporation and bylaws, our Board of Directors is divided into three classes, Class I, Class II and Class III, with members of each class serving staggered three-year terms. The members of the classes are divided as follows: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 I directors are Elisabet de los Pinos, Ph.D. and Giovanni Mariggi, Ph.D., and their terms will expire at the annual meeting of stockholders to be held in 2028;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 II directors are Teresa Marie Bitetti, David Johnson and Karan Takhar, and their terms will expire at the Annual Meeting;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 III directors are Antony Mattessich and Sapna Srivastava, Ph.D., and their terms will expire at the annual meeting of stockholders to be held in 2027.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Upon the expiration of the term of a class of directors, directors in that class will be eligible to be elected for a new three-year term at the annual meeting of stockholders in the year in which their term expires. Our Board of Directors has determined that Karan Takhar, a current Class II director, will not stand for reelection at the Annual Meeting and will cease to serve as a director upon the expiration of his term on the date of the Annual Meeting. Our Board of Directors thanks Mr. Takhar for his dedicated service and contributions to the Company. Effective on the date of the Annual Meeting, the size of our Board of Directors will be reduced to six directors.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 thirds (2/3) or more of the outstanding shares then entitled to vote in an annual election of directors and that any vacancy on our Board of Directors, including a vacancy resulting from an enlargement of our Board of Directors, may be filled only by vote of a majority of our directors then in office.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Board of Directors has nominated each of Teresa Marie Bitetti and David Johnson for election as a Class II director at the Annual Meeting. The nominees are presently directors and have indicated a willingness to continue to serve as directors, if elected. If the nominees become unable or unwilling to serve, however, the proxies may be voted for substitute nominees selected by our Board of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Although our 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 of directors with diverse expertise, experience and background.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information presented below regarding each of the nominees and continuing directors’ specific experience, qualifications, attributes and skills that our Board of Directors and our Nominating and Corporate Governance Committee considered in determining that he or she should serve as a director, we also believe that each of our directors has demonstrated business acumen, integrity and an ability to exercise sound judgment, as well as a commitment of service to our Company and our Board of Directors. </w:t>
      </w:r>
    </w:p>
    <w:p>
      <w:pPr>
        <w:pStyle w:val="TextBody"/>
        <w:bidi w:val="0"/>
        <w:spacing w:before="360" w:after="283"/>
        <w:jc w:val="left"/>
        <w:rPr>
          <w:rFonts w:ascii="Times New Roman" w:hAnsi="Times New Roman"/>
          <w:sz w:val="20"/>
        </w:rPr>
      </w:pPr>
      <w:r>
        <w:rPr>
          <w:rFonts w:ascii="Times New Roman" w:hAnsi="Times New Roman"/>
          <w:b/>
          <w:color w:val="000000"/>
          <w:sz w:val="20"/>
        </w:rPr>
        <w:t>Nominee for Election as Class II Director</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identifies our director nominees, and sets forth their principal occupation and business experience during the last five years and age as of March 31, 2026. </w:t>
      </w:r>
    </w:p>
    <w:p>
      <w:pPr>
        <w:pStyle w:val="TextBody"/>
        <w:bidi w:val="0"/>
        <w:jc w:val="left"/>
        <w:rPr/>
      </w:pPr>
      <w:r>
        <w:rPr/>
        <w:t> </w:t>
      </w:r>
    </w:p>
    <w:tbl>
      <w:tblPr>
        <w:tblW w:w="7964" w:type="dxa"/>
        <w:jc w:val="left"/>
        <w:tblInd w:w="0" w:type="dxa"/>
        <w:tblLayout w:type="fixed"/>
        <w:tblCellMar>
          <w:top w:w="28" w:type="dxa"/>
          <w:left w:w="28" w:type="dxa"/>
          <w:bottom w:w="28" w:type="dxa"/>
          <w:right w:w="28" w:type="dxa"/>
        </w:tblCellMar>
      </w:tblPr>
      <w:tblGrid>
        <w:gridCol w:w="1741"/>
        <w:gridCol w:w="146"/>
        <w:gridCol w:w="3991"/>
        <w:gridCol w:w="146"/>
        <w:gridCol w:w="1141"/>
        <w:gridCol w:w="146"/>
        <w:gridCol w:w="146"/>
        <w:gridCol w:w="316"/>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 Held with Aura Biosciences, Inc.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Teresa Marie Bitetti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Johnson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ind w:left="0" w:right="0" w:firstLine="490"/>
        <w:jc w:val="left"/>
        <w:rPr>
          <w:rFonts w:ascii="Times New Roman" w:hAnsi="Times New Roman"/>
          <w:sz w:val="20"/>
        </w:rPr>
      </w:pPr>
      <w:r>
        <w:rPr>
          <w:rFonts w:ascii="Times New Roman" w:hAnsi="Times New Roman"/>
          <w:b/>
          <w:i/>
          <w:color w:val="000000"/>
          <w:sz w:val="20"/>
        </w:rPr>
        <w:t>Teresa Marie Bitetti</w:t>
      </w:r>
      <w:r>
        <w:rPr>
          <w:rFonts w:ascii="Times New Roman" w:hAnsi="Times New Roman"/>
          <w:color w:val="000000"/>
          <w:sz w:val="20"/>
        </w:rPr>
        <w:t xml:space="preserve"> has served as a member of our Board of Directors since March 2025. Since April 2019, Ms. Bitetti has served as President of the Global Oncology Business Unit and a member of the Executive Team at Takeda Pharmaceutical Company Limited, where she oversees a global portfolio of therapies targeting gastrointestinal, thoracic, and hematological cancers. In this role, Ms. Bitetti leads all aspects of Takeda’s multi-billion-dollar oncology business, with major markets in the U.S., Europe, and Japan. Before joining Takeda, Ms. Bitetti was Senior Vice President and Head of Worldwide Oncology Commercialization at Bristol Myers Squibb, or BMS, from 2017 to 2019. Her experience at BMS, since joining the company in 1996, also included leadership roles in infectious diseases and neuroscience. While at BMS, she served as Senior Vice President and Head of U.S. Oncology, President and General Manager of BMS Canada, and Worldwide Head of BMS Virology. Prior to BMS, Ms. Bitetti was part of the Capital Markets Group at Mobil Oil Corporation, overseeing the investment of Mobil’s worldwide pension assets. In addition to her role at Takeda, Ms. Bitetti serves on the board of directors for Osmol Therapeutics, Inc., which is focused on developing a treatment to prevent chemotherapy-induced peripheral neuropathy. Ms. Bitetti earned her MBA from the Darden School of Business at the University of Virginia and her bachelor’s degree from Wellesley College. We believe Ms. Bitetti’s extensive operational and commercial experience will be instrumental as we advance our clinical pipeline across ocular and urologic oncology and provides her with the appropriate set of skills to serve as a member of our Board of Directors.</w:t>
      </w:r>
    </w:p>
    <w:p>
      <w:pPr>
        <w:pStyle w:val="TextBody"/>
        <w:bidi w:val="0"/>
        <w:ind w:left="0" w:right="0" w:firstLine="490"/>
        <w:jc w:val="left"/>
        <w:rPr/>
      </w:pPr>
      <w:r>
        <w:rPr/>
        <w:t> </w:t>
      </w:r>
    </w:p>
    <w:p>
      <w:pPr>
        <w:pStyle w:val="TextBody"/>
        <w:bidi w:val="0"/>
        <w:ind w:left="0" w:right="0" w:firstLine="490"/>
        <w:jc w:val="left"/>
        <w:rPr>
          <w:rFonts w:ascii="Times New Roman" w:hAnsi="Times New Roman"/>
          <w:sz w:val="20"/>
        </w:rPr>
      </w:pPr>
      <w:r>
        <w:rPr>
          <w:rFonts w:ascii="Times New Roman" w:hAnsi="Times New Roman"/>
          <w:b/>
          <w:i/>
          <w:color w:val="000000"/>
          <w:sz w:val="20"/>
        </w:rPr>
        <w:t xml:space="preserve">David (Dave) Johnson </w:t>
      </w:r>
      <w:r>
        <w:rPr>
          <w:rFonts w:ascii="Times New Roman" w:hAnsi="Times New Roman"/>
          <w:color w:val="000000"/>
          <w:sz w:val="20"/>
        </w:rPr>
        <w:t>has served as a member of our Board of Directors since January 2021. He has 25 years of experience in the biopharmaceutical space. Since July 2021, he has been founder and chief executive officer of Solve Therapeutics, Inc., a venture-backed start-up focused on developing next-generation monoclonal antibody (mAb)-based oncology therapeutics. Prior to Solve Therapeutics, Inc., Mr. Johnson was chief executive officer of VelosBio Inc., which he founded in December 2017 based upon technology licensed from Tom Kipps of University of California, San Diego, built out as a fully functioning preclinical through clinical development organization, and led through an acquisition by Merck &amp; Co. in December 2020 for $2.75B. VelosBio Inc. was an oncology-focused, biopharmaceutical company advancing novel ROR1-directed ADCs and bispecific antibodies, or BiAbs. VLS-101 Phase 1 clinical proof of concept data was presented at the American Society of Hematology Meeting in the fourth quarter of 2020 and published in manuscript form in 2021. Before VelosBio Inc., Mr. Johnson was with Acerta Pharma, LLC, an oncology-focused pharmaceutical company focused on covalent small-molecule technology where he rose to chief executive officer. While with Acerta Pharma, LLC, he built out all facets of the corporation, including accelerating the growth of acalabrutinib to rapidly move from early- to late-stage clinical development and launching four global registration directed trials, including an accelerated approval study which ultimately delivered acalabrutinib’s first regulatory approval. His tenure culminated in the execution of a strategic transaction with AstraZeneca valued at $7B. Mr. Johnson is a board member of Zentalis Pharmaceuticals, Inc. (Nasdaq: ZNTL), which is focused on the creation of differentiated small molecules targeting fundamental biological pathways of cancer. From April 2021 until its acquisition by Blueprint Medicine Corporation in December 2021, Mr. Johnson served as chairman of Lengo Therapeutics. Since November 2021, Mr. Johnson has also been a board member of Palleon Pharmaceuticals, Inc., a biopharmaceutical company focused on novel IO therapeutics targeting the immunosuppressive cell surface sialoglycan system associated with cancer cells. Prior to his Chief Executive Officer and board roles, Mr. Johnson held various biopharmaceutical roles of increasing responsibility with Calistoga Pharmaceuticals (acquired by Gilead Sciences), Gloucester Pharmaceuticals (acquired by Celgene), Millennium (acquired by Takeda), Immunex (acquired by Amgen), and Hoffman La-Roche making contributions to many drugs garnering regulatory approval. He has raised $750m+ in biopharma capital and delivered transactions valued at over $10B. Mr. Johnson is a coauthor on numerous publications including four New England Journal of Medicine manuscripts. He has a bachelor’s degree from Indiana University. We believe that Mr. Johnson’s experience as a pharmaceutical business leader provides him with the appropriate set of skills to serve as a member of our Board of Directors.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nominees have consented to serve as our directors if elected. However, if the nominees are unable to serve or for good cause will not serve as a director, the proxies will be voted for the election of such substitute nominee as our Board of Directors may designate. </w:t>
      </w:r>
    </w:p>
    <w:p>
      <w:pPr>
        <w:pStyle w:val="TextBody"/>
        <w:bidi w:val="0"/>
        <w:spacing w:before="360" w:after="283"/>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 be elected, the directors nominated via Proposal No. 1 must receive a plurality of the votes properly cast on the election of directors, meaning that the director nominees receiving the most “for” votes will be elected. Votes “withheld” and broker non-votes will also have no impact on the election of directors.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of Directors recommends voting “FOR” the election of Teresa Marie Bitetti and David Johnson as Class II directors, to serve for a three-year term ending at the annual meeting of stockholders to be held in 2029.</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Directors Continuing in Office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identifies our directors, and sets forth their principal occupation and business experience during the last five years and their ages as of March 31, 2026. </w:t>
      </w:r>
    </w:p>
    <w:p>
      <w:pPr>
        <w:pStyle w:val="TextBody"/>
        <w:bidi w:val="0"/>
        <w:jc w:val="left"/>
        <w:rPr/>
      </w:pPr>
      <w:r>
        <w:rPr/>
        <w:t> </w:t>
      </w:r>
    </w:p>
    <w:tbl>
      <w:tblPr>
        <w:tblW w:w="10001" w:type="dxa"/>
        <w:jc w:val="left"/>
        <w:tblInd w:w="0" w:type="dxa"/>
        <w:tblLayout w:type="fixed"/>
        <w:tblCellMar>
          <w:top w:w="28" w:type="dxa"/>
          <w:left w:w="28" w:type="dxa"/>
          <w:bottom w:w="28" w:type="dxa"/>
          <w:right w:w="28" w:type="dxa"/>
        </w:tblCellMar>
      </w:tblPr>
      <w:tblGrid>
        <w:gridCol w:w="2326"/>
        <w:gridCol w:w="146"/>
        <w:gridCol w:w="3916"/>
        <w:gridCol w:w="146"/>
        <w:gridCol w:w="1141"/>
        <w:gridCol w:w="146"/>
        <w:gridCol w:w="1381"/>
        <w:gridCol w:w="146"/>
        <w:gridCol w:w="146"/>
        <w:gridCol w:w="316"/>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 and Office Held with Aura Biosciences, Inc.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and Year</w:t>
              <w:br/>
              <w:t>in Which Term</w:t>
              <w:br/>
              <w:t>Will Expire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Elisabet de los Pinos,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President and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Class I—2028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Giovanni Mariggi,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Class I—2028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Antony Mattessich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Class III—2027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Sapna Srivastava,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Class III—2027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Class I Directors (Terms Expire at 2028 Annual Meeting)</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Elisabet de los Pinos, Ph.D.</w:t>
      </w:r>
      <w:r>
        <w:rPr>
          <w:rFonts w:ascii="Times New Roman" w:hAnsi="Times New Roman"/>
          <w:color w:val="000000"/>
          <w:sz w:val="20"/>
        </w:rPr>
        <w:t>, is our founder, Chief Executive Officer and President. Since our founding in 2009, Dr. de los Pinos has led our strategy and operations and has spearheaded our fundraising efforts. Prior to our founding, she was a brand manager in Eli Lilly &amp; Co.’s oncology business unit, where she was part of the leadership team responsible for the market launch in Europe of Alimta, a drug for the treatment of lung cancer. Earlier in her career, Dr. de los Pinos worked as a post-doctoral fellow at the Institute of Cancer Research at the University of London. She previously completed research fellowships at the Mount Sinai School of Medicine Institute of Molecular Medicine of New York University and at the Georgetown School of Medicine. She is a member of the board of overseers at the Museum of Science, Boston. Dr. de los Pinos has been named to Boston Business Journal’s 2009 “Top 40 under 40” list; as a Mass High Tech “Woman to Watch” in 2010; as a “Technology Pioneer” by the World Economic Forum in 2010; and as one of Goldman Sachs’s “100 Most Intriguing Entrepreneurs” in 2014. Dr. de los Pinos holds a Ph.D., magna cum laude, in Molecular Biology from the University of Barcelona and an M.B.A. from IE Business School.</w:t>
      </w:r>
    </w:p>
    <w:p>
      <w:pPr>
        <w:pStyle w:val="TextBody"/>
        <w:bidi w:val="0"/>
        <w:ind w:left="0" w:right="0" w:firstLine="490"/>
        <w:jc w:val="left"/>
        <w:rPr/>
      </w:pPr>
      <w:r>
        <w:rPr/>
        <w:t> </w:t>
      </w:r>
    </w:p>
    <w:p>
      <w:pPr>
        <w:pStyle w:val="TextBody"/>
        <w:bidi w:val="0"/>
        <w:ind w:left="0" w:right="0" w:firstLine="490"/>
        <w:jc w:val="left"/>
        <w:rPr>
          <w:rFonts w:ascii="Times New Roman" w:hAnsi="Times New Roman"/>
          <w:sz w:val="20"/>
        </w:rPr>
      </w:pPr>
      <w:r>
        <w:rPr>
          <w:rFonts w:ascii="Times New Roman" w:hAnsi="Times New Roman"/>
          <w:b/>
          <w:i/>
          <w:color w:val="000000"/>
          <w:sz w:val="20"/>
        </w:rPr>
        <w:t>Giovanni Mariggi, Ph.D.</w:t>
      </w:r>
      <w:r>
        <w:rPr>
          <w:rFonts w:ascii="Times New Roman" w:hAnsi="Times New Roman"/>
          <w:color w:val="000000"/>
          <w:sz w:val="20"/>
        </w:rPr>
        <w:t>, has served as a member of our Board of Directors since April 2019. Dr. Mariggi is a member of the co-founding team at Medicxi, having served as a partner since October 2018 and a principal from February 2016 to September 2018. Prior to Medicxi, Dr. Mariggi served in multiple roles at Index Ventures, or Index, over four years, ultimately serving as a principal from January 2015 to January 2016. Prior to joining Index, Dr. Mariggi worked at Cancer Research UK’s London Research Institute (now the Crick Institute) conducting research on vascular biology and angiogenesis, whilst also performing competitive intelligence projects as an independent consultant to various biopharma companies. He currently serves on the boards of a number of portfolio companies, including Fore Biotherapeutics US Inc.,Vaderis Therapeutics AG, Curevo Inc. and Vicebio Ltd. Dr. Mariggi holds a Ph.D. in Biochemistry and Molecular Biology from University College London and a B.Sc. in Biochemistry from Imperial College London. We believe Dr. Mariggi’s experience and background in the biopharmaceutical industry provides him with the appropriate set of skills to serve as a member of our Board of Directors.</w:t>
      </w:r>
    </w:p>
    <w:p>
      <w:pPr>
        <w:pStyle w:val="TextBody"/>
        <w:bidi w:val="0"/>
        <w:spacing w:before="240" w:after="240"/>
        <w:jc w:val="left"/>
        <w:rPr>
          <w:rFonts w:ascii="Times New Roman" w:hAnsi="Times New Roman"/>
          <w:sz w:val="20"/>
        </w:rPr>
      </w:pPr>
      <w:r>
        <w:rPr>
          <w:rFonts w:ascii="Times New Roman" w:hAnsi="Times New Roman"/>
          <w:b/>
          <w:i/>
          <w:color w:val="000000"/>
          <w:sz w:val="20"/>
        </w:rPr>
        <w:t>Class III Directors (Terms Expire at 2027 Annual Meeting)</w:t>
      </w:r>
      <w:r>
        <w:rPr>
          <w:rFonts w:ascii="Times New Roman" w:hAnsi="Times New Roman"/>
          <w:color w:val="000000"/>
          <w:sz w:val="20"/>
        </w:rPr>
        <w:t xml:space="preserve"> </w:t>
      </w:r>
    </w:p>
    <w:p>
      <w:pPr>
        <w:pStyle w:val="TextBody"/>
        <w:bidi w:val="0"/>
        <w:ind w:left="0" w:right="0" w:firstLine="490"/>
        <w:jc w:val="left"/>
        <w:rPr>
          <w:rFonts w:ascii="Times New Roman" w:hAnsi="Times New Roman"/>
          <w:sz w:val="20"/>
        </w:rPr>
      </w:pPr>
      <w:r>
        <w:rPr>
          <w:rFonts w:ascii="Times New Roman" w:hAnsi="Times New Roman"/>
          <w:b/>
          <w:i/>
          <w:color w:val="000000"/>
          <w:sz w:val="20"/>
        </w:rPr>
        <w:t xml:space="preserve">Antony Mattessich </w:t>
      </w:r>
      <w:r>
        <w:rPr>
          <w:rFonts w:ascii="Times New Roman" w:hAnsi="Times New Roman"/>
          <w:color w:val="000000"/>
          <w:sz w:val="20"/>
        </w:rPr>
        <w:t xml:space="preserve">has served as a member of our Board of Directors since September 2021. Mr. Mattessich was most recently the chief executive officer and a member of the board of directors of Amphista Therapeutics Limited, a position he held from September 2024 to March 2026. Previously, Mr. Mattessich was the chief executive officer and a member of the board of directors of Ocular Therapeutix, Inc. (Nasdaq: OCUL) from August 2017 to September 2024, where he launched the company’s lead asset and brought its potential blockbuster in Wet Age-Related Macular Degeneration from pre-clinical development into active enrollment in Phase 3. Prior to Ocular Therapeutix, Inc., beginning in 2009, he served in roles of increasing responsibility at Mundipharma International, including serving as managing director from May 2011 to August 2017. Prior to Mundipharma International, Mr. Mattessich ran the U.S. respiratory, dermatology and pediatrics group at Novartis AG (NYSE: NVS and NOVN), or Novartis. Before Novartis, Mr. Mattessich held several positions at Bristol-Myers Squibb, among them, managing director roles in Malaysia/Singapore and The Netherlands and head of operations for the International Medicines Group. Mr. Mattessich holds a Masters in International Affairs from Columbia University and a B.A. from the University of California at Berkeley. We believe Mr. Mattessich’s leadership experience in biotech and pharmaceuticals provides him with the appropriate set of skills to serve as a member of our Board of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Sapna Srivastava, Ph.D.</w:t>
      </w:r>
      <w:r>
        <w:rPr>
          <w:rFonts w:ascii="Times New Roman" w:hAnsi="Times New Roman"/>
          <w:color w:val="000000"/>
          <w:sz w:val="20"/>
        </w:rPr>
        <w:t xml:space="preserve">, has served as a member of our Board of Directors since May 2021. Dr. Srivastava most recently served as the interim chief financial officer at eGenesis, Inc., or eGenesis, a position she held from March 2021 until October 2021. Prior to eGenesis, she held similar roles as the chief financial and strategy officer at Abide Therapeutics, Inc. (acquired by Lundbeck) from September 2017 to January 2019 and at Intellia Therapeutics, Inc., or Intellia, from April 2015 to December 2016. In these positions, she has played a key role in equity financings including a successful initial public offering, strategic alliances, mergers and acquisitions and shaping the strategic direction of the companies. Before Intellia, Dr. Srivastava spent more than a decade as a senior biotechnology analyst for Goldman Sachs &amp; Co. LLC, Morgan Stanley &amp; Co. LLC and ThinkEquity Partners. She previously served on the board of directors of VelosBio Inc., Talaris Therapeutics, Inc. (formerly Nasdaq: TALS) and SQZ Biotechnologies Company (formerly Nasdaq: SQZ; OTC: SQZB) and currently serves on the public company boards of directors of Nuvalent, Inc. (Nasdaq: NUVL), and Alumis, Inc. (Nasdaq: ALMS) and previously served on the boards of directors of Tourmaline Bio, Inc. (Nasdaq: TRML) and Innoviva, Inc. (Nasdaq: INVA). Dr. Srivastava holds a Ph.D. in Neuroscience from the New York University School of Medicine and a B.S. in Microbiology from St. Xavier’s College at the University of Mumbai. We believe Dr. Srivastava’s experience as an executive officer in the biopharmaceutical industry and investment banking provides her with the appropriate set of skills to serve as a member of our Board of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are no material legal proceedings to which any of our directors is a party adverse to us or any of our subsidiaries or in which any such person has a material interest adverse to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 w:name="proposal_no_2_ey_ratification"/>
      <w:bookmarkEnd w:id="6"/>
      <w:r>
        <w:rPr>
          <w:rFonts w:ascii="Times New Roman" w:hAnsi="Times New Roman"/>
          <w:b/>
          <w:color w:val="000000"/>
          <w:sz w:val="20"/>
        </w:rPr>
        <w:t>PROPOSAL NO. 2 – RATIFICATION OF THE APPOINTMENT OF ERNST &amp; YOUNG LLP AS AURA BIOSCIENCES, INC.’S INDEPENDENT REGISTERED PUBLIC ACCOUNTING FIRM FOR THE FISCAL YEAR ENDING DECEMBER 31, 2026</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Aura’s stockholders are being asked to ratify the appointment by the Audit Committee of Ernst &amp; Young LLP as Aura’s independent registered public accounting firm for the fiscal year ending December 31, 2026. Ernst &amp; Young LLP has served as Aura’s independent registered public accounting firm since 2016.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Audit Committee is solely responsible for selecting Aura’s independent registered public accounting firm for the fiscal year ending December 31, 2026. Stockholder approval is not required to appoint Ernst &amp; Young LLP as Aura’s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at its discretion, may direct the appointment of a different independent registered public accounting firm at any time it decides that such a change would be in the best interest of Aura and its stockholders.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representative of Ernst &amp; Young LLP is expected to be present at the Annual Meeting and will have an opportunity to make a statement if he or she desires to do so and to respond to appropriate questions from our stockholders.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Aura incurred the following fees from Ernst &amp; Young LLP for the audit of the financial statements and for other services provided during the years ended December 31, 2025 and 2024. </w:t>
      </w:r>
    </w:p>
    <w:p>
      <w:pPr>
        <w:pStyle w:val="TextBody"/>
        <w:bidi w:val="0"/>
        <w:jc w:val="left"/>
        <w:rPr/>
      </w:pPr>
      <w:r>
        <w:rPr/>
        <w:t> </w:t>
      </w:r>
    </w:p>
    <w:tbl>
      <w:tblPr>
        <w:tblW w:w="4324" w:type="dxa"/>
        <w:jc w:val="left"/>
        <w:tblInd w:w="0" w:type="dxa"/>
        <w:tblLayout w:type="fixed"/>
        <w:tblCellMar>
          <w:top w:w="28" w:type="dxa"/>
          <w:left w:w="28" w:type="dxa"/>
          <w:bottom w:w="28" w:type="dxa"/>
          <w:right w:w="28" w:type="dxa"/>
        </w:tblCellMar>
      </w:tblPr>
      <w:tblGrid>
        <w:gridCol w:w="1561"/>
        <w:gridCol w:w="146"/>
        <w:gridCol w:w="211"/>
        <w:gridCol w:w="931"/>
        <w:gridCol w:w="146"/>
        <w:gridCol w:w="146"/>
        <w:gridCol w:w="211"/>
        <w:gridCol w:w="781"/>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Tax fees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Audit fees consist of fees and expenses billed for the audit of our annual consolidated financial statements, the review of our interim financial statements included in our Quarterly Reports on Form 10-Q and services in connection with our securities offerings, including registration statements, responding to SEC comment letters, comfort letters and consents.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Tax fees consist of fees billed for tax compliance, tax advice and tax planning services, including the review and preparation of federal and state income tax returns.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During our 2025 and 2024 fiscal years, no services other than those discussed above were provided by Ernst &amp; Young LLP. </w:t>
      </w:r>
    </w:p>
    <w:p>
      <w:pPr>
        <w:pStyle w:val="TextBody"/>
        <w:bidi w:val="0"/>
        <w:spacing w:before="280" w:after="283"/>
        <w:jc w:val="left"/>
        <w:rPr>
          <w:rFonts w:ascii="Times New Roman" w:hAnsi="Times New Roman"/>
          <w:sz w:val="20"/>
        </w:rPr>
      </w:pPr>
      <w:r>
        <w:rPr>
          <w:rFonts w:ascii="Times New Roman" w:hAnsi="Times New Roman"/>
          <w:b/>
          <w:color w:val="000000"/>
          <w:sz w:val="20"/>
        </w:rPr>
        <w:t>Audit Committee Pre-approval Policy and Procedures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During our 2025 and 2024 fiscal years, no services were provided to us by Ernst &amp; Young LLP other than in accordance with the pre-approval policies and procedures described above. </w:t>
      </w:r>
    </w:p>
    <w:p>
      <w:pPr>
        <w:pStyle w:val="TextBody"/>
        <w:bidi w:val="0"/>
        <w:spacing w:before="280" w:after="283"/>
        <w:jc w:val="left"/>
        <w:rPr>
          <w:rFonts w:ascii="Times New Roman" w:hAnsi="Times New Roman"/>
          <w:sz w:val="20"/>
        </w:rPr>
      </w:pPr>
      <w:r>
        <w:rPr>
          <w:rFonts w:ascii="Times New Roman" w:hAnsi="Times New Roman"/>
          <w:b/>
          <w:color w:val="000000"/>
          <w:sz w:val="20"/>
        </w:rPr>
        <w:t>Vote Required and Board of Directors’ Recommendation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 ratify the appointment of Ernst &amp; Young LLP as Aura Biosciences, Inc.’s independent registered public accounting firm for the fiscal year ending December 31, 2026, this Proposal No. 2 must receive “for” votes from a majority of the votes properly cast on the proposal. Abstentions and broker non-votes, if any, will have no impact on the outcome of this vote.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of Directors recommends voting “FOR” Proposal No. 2 to ratify the appointment of Ernst &amp; Young LLP as Aura Biosciences, Inc.’s independent registered public accounting firm for the fiscal year ending December 31, 2026.</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7" w:name="corporate_governance"/>
      <w:bookmarkEnd w:id="7"/>
      <w:r>
        <w:rPr>
          <w:rFonts w:ascii="Times New Roman" w:hAnsi="Times New Roman"/>
          <w:b/>
          <w:color w:val="000000"/>
          <w:sz w:val="20"/>
        </w:rPr>
        <w:t>CORPORATE</w:t>
      </w:r>
      <w:r>
        <w:rPr>
          <w:rFonts w:ascii="Times New Roman" w:hAnsi="Times New Roman"/>
          <w:color w:val="000000"/>
          <w:sz w:val="20"/>
        </w:rPr>
        <w:t xml:space="preserve"> </w:t>
      </w:r>
      <w:r>
        <w:rPr>
          <w:rFonts w:ascii="Times New Roman" w:hAnsi="Times New Roman"/>
          <w:b/>
          <w:color w:val="000000"/>
          <w:sz w:val="20"/>
        </w:rPr>
        <w:t>GOVERNANCE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Director Nomination Process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Nominating and Corporate Governance Committee is responsible for identifying individuals qualified to serve as directors, consistent with criteria approved by our Board of Directors and recommending such persons to be nominated for election as directors, except where we are legally required by contract, law or otherwise to provide third parties with the right to nominate.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of Directors. The qualifications, qualities and skills that our Nominating and Corporate Governance Committee believes must be met by a committee-recommended nominee for a position on our Board of Directors are as follows: </w:t>
      </w:r>
    </w:p>
    <w:p>
      <w:pPr>
        <w:pStyle w:val="TextBody"/>
        <w:bidi w:val="0"/>
        <w:spacing w:before="120" w:after="283"/>
        <w:ind w:left="50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Nominees should demonstrate high standards of personal and professional ethics and integrity. </w:t>
      </w:r>
    </w:p>
    <w:p>
      <w:pPr>
        <w:pStyle w:val="TextBody"/>
        <w:bidi w:val="0"/>
        <w:spacing w:before="120" w:after="283"/>
        <w:ind w:left="50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Nominees should have proven achievement and competence in the nominee’s field and the ability to exercise sound business judgment. </w:t>
      </w:r>
    </w:p>
    <w:p>
      <w:pPr>
        <w:pStyle w:val="TextBody"/>
        <w:bidi w:val="0"/>
        <w:spacing w:before="120" w:after="283"/>
        <w:ind w:left="50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Nominees should have skills that are complementary to those of the existing Board of Directors. </w:t>
      </w:r>
    </w:p>
    <w:p>
      <w:pPr>
        <w:pStyle w:val="TextBody"/>
        <w:bidi w:val="0"/>
        <w:spacing w:before="120" w:after="283"/>
        <w:ind w:left="50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Nominees should have the ability to assist and support management and make significant contributions to the Company’s success. </w:t>
      </w:r>
    </w:p>
    <w:p>
      <w:pPr>
        <w:pStyle w:val="TextBody"/>
        <w:bidi w:val="0"/>
        <w:spacing w:before="120" w:after="283"/>
        <w:ind w:left="50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Nominees should have an understanding of the fiduciary responsibilities that are required of a member of the Board of Directors and the commitment of time and energy necessary to diligently carry out those responsibilities.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Aura Biosciences, Inc., 80 Guest Street, Boston, MA 02135, Attention: Corporate Secretary. We also encourage any such proposal be submitted via email to proxy@aurabiosciences.com.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“Stockholder Proposals” for a discussion of submitting stockholder proposals.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common stock is listed on The Nasdaq Global Market, or Nasdaq.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10A-3 under the Securities Exchange Act of 1934, as amended, or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Based upon information requested from and provided by each director concerning his or her background, employment and affiliations, including family relationships, in the first quarter of 2026 our Board of Directors determined that all members of the Board of Directors, except Elisabet de los Pinos, Ph.D., are independent directors, including for purposes of Nasdaq and the SEC rules. In making that determination, our Board of Directors considered the relationships that each director has with us and all other facts and circumstances the Board of Directors deemed relevant in determining independence, including the potential deemed beneficial ownership of our capital stock by each director and respective affiliations, including non-employee directors that are affiliated with certain of our major stockholders. We expect that the composition and functioning of our Board of Directors and each of our committees will continue to comply with all applicable requirements of Nasdaq and the rules and regulations of the SEC. There are no family relationships among any of our directors or executive officers. Elisabet de los Pinos, Ph.D. is not an independent director under these rules because she is currently employed as the Chief Executive Officer and President of our Company. </w:t>
      </w:r>
    </w:p>
    <w:p>
      <w:pPr>
        <w:pStyle w:val="TextBody"/>
        <w:bidi w:val="0"/>
        <w:spacing w:before="360" w:after="283"/>
        <w:jc w:val="left"/>
        <w:rPr>
          <w:rFonts w:ascii="Times New Roman" w:hAnsi="Times New Roman"/>
          <w:sz w:val="20"/>
        </w:rPr>
      </w:pPr>
      <w:r>
        <w:rPr>
          <w:rFonts w:ascii="Times New Roman" w:hAnsi="Times New Roman"/>
          <w:b/>
          <w:color w:val="000000"/>
          <w:sz w:val="20"/>
        </w:rPr>
        <w:t>Board Committees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Board of Directors has established an Audit Committee, a Compensation Committee, and a Nominating and Corporate Governance Committee, each of which operate pursuant to a charter adopted by our Board of Directors. We believe that the composition and functioning of all of our committees comply with the applicable requirements of Nasdaq, the Sarbanes-Oxley Act of 2002 and the SEC rules and regulations that are applicable to us. We intend to comply with future requirements to the extent they become applicable to us.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The full text of our Audit Committee Charter, Compensation Committee Charter and Nominating and Corporate Governance Committee Charter is posted on the investor relations portion of our website at </w:t>
      </w:r>
      <w:r>
        <w:rPr>
          <w:rFonts w:ascii="Times New Roman" w:hAnsi="Times New Roman"/>
          <w:i/>
          <w:color w:val="000000"/>
          <w:sz w:val="20"/>
        </w:rPr>
        <w:t>https://aurabiosciences.com/</w:t>
      </w:r>
      <w:r>
        <w:rPr>
          <w:rFonts w:ascii="Times New Roman" w:hAnsi="Times New Roman"/>
          <w:color w:val="000000"/>
          <w:sz w:val="20"/>
        </w:rPr>
        <w:t xml:space="preserve">. We do not incorporate the information contained on, or accessible through, our corporate website into this proxy statement, and you should not consider it a part of this proxy statement. </w:t>
      </w:r>
    </w:p>
    <w:p>
      <w:pPr>
        <w:pStyle w:val="TextBody"/>
        <w:bidi w:val="0"/>
        <w:spacing w:before="360" w:after="283"/>
        <w:jc w:val="left"/>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Sapna Srivastava, Ph.D., Giovanni Mariggi, Ph.D. and Antony Mattessich serve on the Audit Committee, which is chaired by Dr. Srivastava. Our Board of Directors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Our Board of Directors has designated Dr. Srivastava as an “audit committee financial expert,” as defined under the applicable rules of the SEC. During the fiscal year ended December 31, 2025, the Audit Committee met six (6) times. The Report of the Audit Committee is included in this proxy statement under “Report of the Audit Committee.” The Audit Committee’s responsibilities include: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appointing, approving the compensation of, and assessing the independence of our independent registered public accounting firm;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pre-approving auditing and permissible non-audit services, and the terms of such services, to be provided by our independent registered public accounting firm;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the overall audit plan with our independent registered public accounting firm and members of management responsible for preparing our consolidated financial statements;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discussing with management and our independent registered public accounting firm our annual and quarterly consolidated financial statements and related disclosures as well as critical accounting policies and practices used by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coordinating the oversight and reviewing the adequacy of our internal control over financial reporting;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policies and procedures for the receipt and retention of accounting-related complaints and concerns;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recommending, based upon the Audit Committee’s review and discussions with management and our independent registered public accounting firm, whether our audited consolidated financial statements shall be included in our Annual Report on Form 10-K;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monitoring the integrity of our consolidated financial statements and our compliance with legal and regulatory requirements as they relate to our consolidated financial statements and accounting matters;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preparing the Report of the Audit Committee required by SEC rules to be included in our annual proxy statement;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all related person transactions for potential conflict of interest situations and approving all such transactions;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quarterly earnings releases;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overseeing our cybersecurity risk management program.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All audit and non-audit services, other than </w:t>
      </w:r>
      <w:r>
        <w:rPr>
          <w:rFonts w:ascii="Times New Roman" w:hAnsi="Times New Roman"/>
          <w:i/>
          <w:color w:val="000000"/>
          <w:sz w:val="20"/>
        </w:rPr>
        <w:t xml:space="preserve">de minimis </w:t>
      </w:r>
      <w:r>
        <w:rPr>
          <w:rFonts w:ascii="Times New Roman" w:hAnsi="Times New Roman"/>
          <w:color w:val="000000"/>
          <w:sz w:val="20"/>
        </w:rPr>
        <w:t xml:space="preserve">non-audit services, to be provided to us by our independent registered public accounting firm must be approved in advance by our Audit Committee. </w:t>
      </w:r>
    </w:p>
    <w:p>
      <w:pPr>
        <w:pStyle w:val="TextBody"/>
        <w:bidi w:val="0"/>
        <w:spacing w:before="360" w:after="283"/>
        <w:jc w:val="left"/>
        <w:rPr>
          <w:rFonts w:ascii="Times New Roman" w:hAnsi="Times New Roman"/>
          <w:sz w:val="20"/>
        </w:rPr>
      </w:pPr>
      <w:r>
        <w:rPr>
          <w:rFonts w:ascii="Times New Roman" w:hAnsi="Times New Roman"/>
          <w:b/>
          <w:i/>
          <w:color w:val="000000"/>
          <w:sz w:val="20"/>
        </w:rPr>
        <w:t>Compensation Committee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Giovanni Mariggi, Teresa Marie Bitetti and Karan Takhar serve on the Compensation Committee, which is chaired by Dr. Mariggi. Ms. Bitetti joined the Compensation Committee in connection with her appointment to the Board of Directors in March 2025, at which time Mr. Johnson left his position as member and chair of the Compensation Committee and Dr. Mariggi joined such committee as chair. Our Board of Directors has determined that each member of the Compensation Committee is “independent” as defined in the applicable Nasdaq rules. During the fiscal year ended December 31, 2025, the Compensation Committee met four (4) times. The Compensation Committee’s responsibilities include: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annually reviewing and recommending to the Board of Directors the corporate goals and objectives relevant to the compensation of our Chief Executive Officer;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evaluating the performance of our Chief Executive Officer in light of such corporate goals and objectives and based on such evaluation, recommending to the Board of Directors the cash compensation of our Chief Executive Officer;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determining the compensation of our other executive officers;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overseeing and administering our compensation and similar plans;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retaining and approving the compensation of any compensation advisors;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approving the grant of equity-based awards;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recommending to the Board of Directors the compensation of our directors;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preparing our Compensation Committee Report if and when required by SEC rules to be included in our annual proxy statement.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Nominating and Corporate Governance Committee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Antony Mattessich, David Johnson and Karan Takhar serve on the Nominating and Corporate Governance Committee, which is chaired by Mr. Mattessich. Our Board of Directors has determined that each member of the Nominating and Corporate Governance committee is “independent” as defined in the applicable Nasdaq rules. During the fiscal year ended December 31, 2025, the Nominating and Corporate Governance Committee met one (1) time. The Nominating and Corporate Governance Committee’s responsibilities include: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recommending to the Board of Directors criteria for board and committee membership;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procedures for identifying and evaluating candidates for the Board of Directors, including nominees recommended by stockholders;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the composition of the Board of Directors to ensure that it is composed of members containing the appropriate skills and expertise to advise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individuals qualified to become members of the Board of Directors;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recommending to the Board of Directors the persons to be nominated for election as directors and to each of the Board of Directors’ committees;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recommending to the Board of Directors appropriate corporate governance guidelines;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overseeing the evaluation of our Board of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Nominating and Corporate Governance Committee considers candidates for membership on our Board of Directors suggested by the members of the Nominating and Corporate Governance Committee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Nominating and Corporate Governance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Identifying and Evaluating Director Nominees.</w:t>
      </w:r>
      <w:r>
        <w:rPr>
          <w:rFonts w:ascii="Times New Roman" w:hAnsi="Times New Roman"/>
          <w:color w:val="000000"/>
          <w:sz w:val="20"/>
        </w:rPr>
        <w:t xml:space="preserve"> Our Board of Directors is responsible for filling vacancies on our Board of Directors and for nominating 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Generally, the Nominating and Corporate Governance Committee identifies candidates for director nominees in consultation with management,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 </w:t>
      </w:r>
    </w:p>
    <w:p>
      <w:pPr>
        <w:pStyle w:val="TextBody"/>
        <w:bidi w:val="0"/>
        <w:spacing w:before="360" w:after="283"/>
        <w:jc w:val="left"/>
        <w:rPr>
          <w:rFonts w:ascii="Times New Roman" w:hAnsi="Times New Roman"/>
          <w:sz w:val="20"/>
        </w:rPr>
      </w:pPr>
      <w:r>
        <w:rPr>
          <w:rFonts w:ascii="Times New Roman" w:hAnsi="Times New Roman"/>
          <w:b/>
          <w:color w:val="000000"/>
          <w:sz w:val="20"/>
        </w:rPr>
        <w:t>Board and Committee Meetings Attendance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full Board of Directors met eight (8) times during 2025. During 2025, each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Director Attendance at Annual Meeting of Stockholders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Directors are responsible for attending the Annual Meeting of stockholders to the extent practicable. We held an annual meeting of stockholders on June 17, 2025, at which all of our directors were present, except Mr. Mattessich and Mr. Takhar. </w:t>
      </w:r>
    </w:p>
    <w:p>
      <w:pPr>
        <w:pStyle w:val="TextBody"/>
        <w:bidi w:val="0"/>
        <w:spacing w:before="360" w:after="283"/>
        <w:jc w:val="left"/>
        <w:rPr>
          <w:rFonts w:ascii="Times New Roman" w:hAnsi="Times New Roman"/>
          <w:sz w:val="20"/>
        </w:rPr>
      </w:pPr>
      <w:r>
        <w:rPr>
          <w:rFonts w:ascii="Times New Roman" w:hAnsi="Times New Roman"/>
          <w:b/>
          <w:color w:val="000000"/>
          <w:sz w:val="20"/>
        </w:rPr>
        <w:t>Policy on Trading, Pledging and Hedging of Company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adopted an insider trading policy governing the purchase, sale and other dispositions of our securities by our executive officers, directors, employees, consultants and designated contractors that we believe is reasonably designed to promote compliance with insider trading laws, rules and regulations, and the Nasdaq listing standards that are applicable to us. Our Amended and Restated Insider Trading Policy is filed as Exhibit 19.1 to our Annual Report on Form 10-K, filed on March 24,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our securities. Our Amended and Restated Insider Trading Policy expressly prohibits derivative transactions of our stock by our executive officers, directors, employees, consultants and designated contractors. Our Amended and Restated Insider Trading Policy expressly prohibits purchases of any derivative securities that provide the economic equivalent of ownership. </w:t>
      </w:r>
    </w:p>
    <w:p>
      <w:pPr>
        <w:pStyle w:val="TextBody"/>
        <w:bidi w:val="0"/>
        <w:spacing w:before="360" w:after="283"/>
        <w:jc w:val="left"/>
        <w:rPr>
          <w:rFonts w:ascii="Times New Roman" w:hAnsi="Times New Roman"/>
          <w:sz w:val="20"/>
        </w:rPr>
      </w:pPr>
      <w:r>
        <w:rPr>
          <w:rFonts w:ascii="Times New Roman" w:hAnsi="Times New Roman"/>
          <w:b/>
          <w:color w:val="000000"/>
          <w:sz w:val="20"/>
        </w:rPr>
        <w:t>Compensation Recovery Policy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accordance with the requirements of the SEC and Nasdaq listing rules, the Compensation Committee has adopted a compensation recovery policy, or clawback policy, that provides that in the event we are required to prepare a restatement of financial statements due to material noncompliance with any financial reporting requirement under securities laws, we must (subject to certain limited exceptions described in the clawback policy and permitted under the SEC and Nasdaq listing rules)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would have received based on the restated financial statements. </w:t>
      </w:r>
    </w:p>
    <w:p>
      <w:pPr>
        <w:pStyle w:val="TextBody"/>
        <w:bidi w:val="0"/>
        <w:spacing w:before="360" w:after="283"/>
        <w:jc w:val="left"/>
        <w:rPr>
          <w:rFonts w:ascii="Times New Roman" w:hAnsi="Times New Roman"/>
          <w:sz w:val="20"/>
        </w:rPr>
      </w:pPr>
      <w:r>
        <w:rPr>
          <w:rFonts w:ascii="Times New Roman" w:hAnsi="Times New Roman"/>
          <w:b/>
          <w:color w:val="000000"/>
          <w:sz w:val="20"/>
        </w:rPr>
        <w:t>Compensation Committee Interlocks and Insider Participation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fiscal year 2025, Teresa Marie Bitetti, David Johnson, Giovanni Mariggi, and Karan Takhar served as members of our Compensation Committee for some or all of such period. None of the members of our Compensation Committee is, or has at any time during the prior three years been, one of our officers or employees. None of our executive officers currently serve, or have in the past fiscal year served, as a member of the board of directors or compensation committee of any entity that has one or more of its executive officers serving as a member of our Board of Directors or our Compensation Committee. </w:t>
      </w:r>
    </w:p>
    <w:p>
      <w:pPr>
        <w:pStyle w:val="TextBody"/>
        <w:bidi w:val="0"/>
        <w:spacing w:before="360" w:after="283"/>
        <w:jc w:val="left"/>
        <w:rPr>
          <w:rFonts w:ascii="Times New Roman" w:hAnsi="Times New Roman"/>
          <w:sz w:val="20"/>
        </w:rPr>
      </w:pPr>
      <w:r>
        <w:rPr>
          <w:rFonts w:ascii="Times New Roman" w:hAnsi="Times New Roman"/>
          <w:b/>
          <w:color w:val="000000"/>
          <w:sz w:val="20"/>
        </w:rPr>
        <w:t>Code of Business Conduct and Ethics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adopted a Code of Business Conduct and Ethics that applies to our directors, officers, and employees, including our principal executive officer, principal financial officer, principal accounting officer, or controller, or persons performing similar functions. The full text of our Code of Business Conduct and Ethics is posted on our website at https://ir.aurabiosciences.com/corporate-governance/documents-charters. If we make any substantive amendments to, or grant any waivers from, our Code of Business Conduct and Ethics for any officer or director, we will disclose the nature of such amendment or waiver on our website or in a current report on Form 8-K.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Board Leadership Structure and Board’s Role in Risk Oversight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David Johnson is the current Chairman of our Board of Directors. We believe that separating the positions of Chief Executive Officer and Chairperson of the Board of Directors allows our Chief Executive Officer to focus on our day-to-day business, while allowing a Chairperson of the Board of Directors to lead the Board of Directors in its fundamental role of providing advice to and independent oversight of management. Our Board of Directors recognizes the time, effort and energy that the Chief Executive Officer is required to devote to her position in the current business environment, as well as the commitment required to serve as our Chairperson, particularly as the Board of Directors’ oversight responsibilities continue to grow. While our bylaws and corporate governance guidelines do not require that our Chairperson and Chief Executive Officer positions be separate, our Board of Directors believes that having separate positions is the appropriate leadership structure for us at this time and demonstrates our commitment to good corporate governance. 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committee of the Board of Directors in the case of risks that are under the purview of a particular committee) discusses with management our major risk exposures, their potential impact on us, and the steps we take to manage them. When a committee is responsible for evaluating and overseeing the management of a particular risk or risks, the chair of the relevant committee reports on the discussion to the full Board of Directors during the next board meeting. This enables the Board of Directors and its committees to coordinate the risk oversight role, particularly with respect to risk interrelationships. </w:t>
      </w:r>
    </w:p>
    <w:p>
      <w:pPr>
        <w:pStyle w:val="TextBody"/>
        <w:bidi w:val="0"/>
        <w:spacing w:before="360" w:after="283"/>
        <w:jc w:val="left"/>
        <w:rPr>
          <w:rFonts w:ascii="Times New Roman" w:hAnsi="Times New Roman"/>
          <w:sz w:val="20"/>
        </w:rPr>
      </w:pPr>
      <w:r>
        <w:rPr>
          <w:rFonts w:ascii="Times New Roman" w:hAnsi="Times New Roman"/>
          <w:b/>
          <w:color w:val="000000"/>
          <w:sz w:val="20"/>
        </w:rPr>
        <w:t>Communication with the Directors of Aura Biosciences, Inc.</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interested party with concerns about our Company may report such concerns to the Board of Directors or the Chairman of our Board of Directors or the Chairman of our Nominating and Corporate Governance Committee, by submitting a written communication to the attention of such director at the following address: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c/o Aura Biosciences, Inc. </w:t>
      </w:r>
    </w:p>
    <w:p>
      <w:pPr>
        <w:pStyle w:val="TextBody"/>
        <w:bidi w:val="0"/>
        <w:jc w:val="center"/>
        <w:rPr>
          <w:rFonts w:ascii="Times New Roman" w:hAnsi="Times New Roman"/>
          <w:color w:val="000000"/>
          <w:sz w:val="20"/>
        </w:rPr>
      </w:pPr>
      <w:r>
        <w:rPr>
          <w:rFonts w:ascii="Times New Roman" w:hAnsi="Times New Roman"/>
          <w:color w:val="000000"/>
          <w:sz w:val="20"/>
        </w:rPr>
        <w:t xml:space="preserve">80 Guest Street </w:t>
      </w:r>
    </w:p>
    <w:p>
      <w:pPr>
        <w:pStyle w:val="TextBody"/>
        <w:bidi w:val="0"/>
        <w:jc w:val="center"/>
        <w:rPr>
          <w:rFonts w:ascii="Times New Roman" w:hAnsi="Times New Roman"/>
          <w:color w:val="000000"/>
          <w:sz w:val="20"/>
        </w:rPr>
      </w:pPr>
      <w:r>
        <w:rPr>
          <w:rFonts w:ascii="Times New Roman" w:hAnsi="Times New Roman"/>
          <w:color w:val="000000"/>
          <w:sz w:val="20"/>
        </w:rPr>
        <w:t xml:space="preserve">Boston, MA 02135 </w:t>
      </w:r>
    </w:p>
    <w:p>
      <w:pPr>
        <w:pStyle w:val="TextBody"/>
        <w:bidi w:val="0"/>
        <w:jc w:val="center"/>
        <w:rPr>
          <w:rFonts w:ascii="Times New Roman" w:hAnsi="Times New Roman"/>
          <w:color w:val="000000"/>
          <w:sz w:val="20"/>
        </w:rPr>
      </w:pPr>
      <w:r>
        <w:rPr>
          <w:rFonts w:ascii="Times New Roman" w:hAnsi="Times New Roman"/>
          <w:color w:val="000000"/>
          <w:sz w:val="20"/>
        </w:rPr>
        <w:t xml:space="preserve">United States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You may submit your concern anonymously or confidentially by postal mail. You may also indicate whether you are a stockholder, customer, supplier or other interested party.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copy of any such written communication may also be forwarded to Aura’s legal counsel and a copy of such communication may be retained for a reasonable period of time. The director may discuss the matter with Aura’s legal counsel, with independent advisors, with non-management directors, or with Aura’s management, or may take other action or no action as the director determines in good faith, using reasonable judgment, and applying his or her own discretion.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Audit Committee oversees the procedures for the receipt, retention and treatment of complaints received by Aura Biosciences regarding accounting, internal accounting controls or audit matters, and the confidential, anonymous submission by employees of concerns regarding questionable accounting, internal accounting controls or auditing matters. Aura Biosciences has also established a toll-free telephone number for the reporting of such activity, which is 877-554-1974.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8" w:name="non_employee_director_compensation"/>
      <w:bookmarkEnd w:id="8"/>
      <w:r>
        <w:rPr>
          <w:rFonts w:ascii="Times New Roman" w:hAnsi="Times New Roman"/>
          <w:b/>
          <w:color w:val="000000"/>
          <w:sz w:val="20"/>
        </w:rPr>
        <w:t>NON-EMPLOYEE DIRECTOR COMPENSATION</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total compensation for each person who served as a non-employee member of our Board of Directors and received compensation for such service during fiscal year 2025. Directors who also serve as employees received no additional compensation for their service as directors. During fiscal year 2025, Elisabet de los Pinos, Ph.D., our Chief Executive Officer, was a member of our Board of Directors, as well as an employee, and received no additional compensation for her services as a director. See the section titled “2025 Summary Compensation Table” for more information about her compensation in fiscal year 2025. </w:t>
      </w:r>
    </w:p>
    <w:p>
      <w:pPr>
        <w:pStyle w:val="TextBody"/>
        <w:bidi w:val="0"/>
        <w:spacing w:before="360" w:after="283"/>
        <w:jc w:val="left"/>
        <w:rPr>
          <w:rFonts w:ascii="Times New Roman" w:hAnsi="Times New Roman"/>
          <w:sz w:val="20"/>
        </w:rPr>
      </w:pPr>
      <w:r>
        <w:rPr>
          <w:rFonts w:ascii="Times New Roman" w:hAnsi="Times New Roman"/>
          <w:b/>
          <w:color w:val="000000"/>
          <w:sz w:val="20"/>
        </w:rPr>
        <w:t>2025 Director Compensation Table</w:t>
      </w:r>
      <w:r>
        <w:rPr>
          <w:rFonts w:ascii="Times New Roman" w:hAnsi="Times New Roman"/>
          <w:color w:val="000000"/>
          <w:sz w:val="20"/>
        </w:rPr>
        <w:t xml:space="preserve"> </w:t>
      </w:r>
    </w:p>
    <w:p>
      <w:pPr>
        <w:pStyle w:val="TextBody"/>
        <w:bidi w:val="0"/>
        <w:jc w:val="left"/>
        <w:rPr/>
      </w:pPr>
      <w:r>
        <w:rPr/>
        <w:t> </w:t>
      </w:r>
    </w:p>
    <w:tbl>
      <w:tblPr>
        <w:tblW w:w="7402" w:type="dxa"/>
        <w:jc w:val="left"/>
        <w:tblInd w:w="0" w:type="dxa"/>
        <w:tblLayout w:type="fixed"/>
        <w:tblCellMar>
          <w:top w:w="28" w:type="dxa"/>
          <w:left w:w="28" w:type="dxa"/>
          <w:bottom w:w="28" w:type="dxa"/>
          <w:right w:w="28" w:type="dxa"/>
        </w:tblCellMar>
      </w:tblPr>
      <w:tblGrid>
        <w:gridCol w:w="2326"/>
        <w:gridCol w:w="146"/>
        <w:gridCol w:w="211"/>
        <w:gridCol w:w="676"/>
        <w:gridCol w:w="146"/>
        <w:gridCol w:w="146"/>
        <w:gridCol w:w="211"/>
        <w:gridCol w:w="781"/>
        <w:gridCol w:w="146"/>
        <w:gridCol w:w="146"/>
        <w:gridCol w:w="211"/>
        <w:gridCol w:w="781"/>
        <w:gridCol w:w="146"/>
        <w:gridCol w:w="146"/>
        <w:gridCol w:w="211"/>
        <w:gridCol w:w="781"/>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w:t>
              <w:br/>
              <w:t>EARNED</w:t>
              <w:br/>
              <w:t>OR PAID</w:t>
              <w:br/>
              <w:t>IN 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br/>
              <w:t xml:space="preserve">($) </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br/>
              <w:t xml:space="preserve">($) </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Teresa Marie Bitetti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Johnson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Giovanni Mariggi, Ph.D.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Antony Mattessich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Sapna Srivastava,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Karan Takhar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represent the aggregate grant date fair value of restricted stock unit and option awards granted to our directors during our fiscal year ended December 31, 2025, computed in accordance with Financial Accounting Standards Board Accounting Standards Codification Topic 718, or FASB ASC Topic 718. A discussion of the assumptions used in determining grant date fair value may be found in Note 9 to our consolidated financial statements included in our Annual Report on Form 10-K for the fiscal year ended December 31, 2025, filed with the SEC on March 30, 2026. This amount does not correspond to the actual value that may be recognized by the director upon settlement or exercise of the applicable award or sale of the underlying shares of stock. Except as noted below, none of our directors held options to purchase our common stock or any other stock awards as of December 31, 2025.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The table below reflects the aggregate number of outstanding stock options and unvested restricted stock units held by our non-employee directors as of December 31, 2025: </w:t>
      </w:r>
    </w:p>
    <w:p>
      <w:pPr>
        <w:pStyle w:val="TextBody"/>
        <w:bidi w:val="0"/>
        <w:jc w:val="left"/>
        <w:rPr/>
      </w:pPr>
      <w:r>
        <w:rPr/>
        <w:t> </w:t>
      </w:r>
    </w:p>
    <w:tbl>
      <w:tblPr>
        <w:tblW w:w="7035" w:type="dxa"/>
        <w:jc w:val="left"/>
        <w:tblInd w:w="0" w:type="dxa"/>
        <w:tblLayout w:type="fixed"/>
        <w:tblCellMar>
          <w:top w:w="28" w:type="dxa"/>
          <w:left w:w="28" w:type="dxa"/>
          <w:bottom w:w="28" w:type="dxa"/>
          <w:right w:w="28" w:type="dxa"/>
        </w:tblCellMar>
      </w:tblPr>
      <w:tblGrid>
        <w:gridCol w:w="2116"/>
        <w:gridCol w:w="146"/>
        <w:gridCol w:w="411"/>
        <w:gridCol w:w="1914"/>
        <w:gridCol w:w="146"/>
        <w:gridCol w:w="146"/>
        <w:gridCol w:w="308"/>
        <w:gridCol w:w="1657"/>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NUMBER OF UNVESTED</w:t>
              <w:br/>
              <w:t>RESTRICTED STOCK UNITS</w:t>
              <w:br/>
              <w:t>HELD AS OF</w:t>
              <w:br/>
              <w:t>DECEMBER 31, 2025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NUMBER OF SHARES</w:t>
              <w:br/>
              <w:t>SUBJECT TO STOCK</w:t>
              <w:br/>
              <w:t>OPTIONS HELD AS OF</w:t>
              <w:br/>
              <w:t>DECEMBER 31, 2025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Teresa Marie Bitetti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Johnson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Giovanni Mariggi,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Antony Mattessich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Sapna Srivastava,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Karan Takhar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Dr. Mariggi has waived all cash and equity compensation for which he would otherwise be eligible as a non-employee director.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Mr. Takhar has waived all cash and equity compensation that he would otherwise be eligible to receive for his service as a non-employee director.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Amended and Restated Non-Employee Director Compensation Policy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non-employee directors are compensated pursuant to a formal policy pursuant to which we pay our non-employee directors a cash retainer for service on our Board of Directors and for service on each committee on which the director is a member. The Chair of each committee receives a higher retainer for such service. In June 2025, the Board of Directors, based in part on the recommendation of the Compensation Committee, approved an amendment and restatement of the non-employee director compensation policy to make certain adjustments to committee chair and member fees and the initial and annual equity awards granted to non-employee directors.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fees paid to non-employee directors for service on our Board of Directors and for service on each committee of our Board of Directors on which the director is a member are as follows: </w:t>
      </w:r>
    </w:p>
    <w:p>
      <w:pPr>
        <w:pStyle w:val="TextBody"/>
        <w:bidi w:val="0"/>
        <w:jc w:val="left"/>
        <w:rPr/>
      </w:pPr>
      <w:r>
        <w:rPr/>
        <w:t> </w:t>
      </w:r>
    </w:p>
    <w:tbl>
      <w:tblPr>
        <w:tblW w:w="5545" w:type="dxa"/>
        <w:jc w:val="left"/>
        <w:tblInd w:w="0" w:type="dxa"/>
        <w:tblLayout w:type="fixed"/>
        <w:tblCellMar>
          <w:top w:w="28" w:type="dxa"/>
          <w:left w:w="28" w:type="dxa"/>
          <w:bottom w:w="28" w:type="dxa"/>
          <w:right w:w="28" w:type="dxa"/>
        </w:tblCellMar>
      </w:tblPr>
      <w:tblGrid>
        <w:gridCol w:w="4321"/>
        <w:gridCol w:w="211"/>
        <w:gridCol w:w="146"/>
        <w:gridCol w:w="676"/>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Board of Directors: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retainer for non-executive chair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 (other than chair)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Retainer for chair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 (other than chair)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Retainer for chair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 (other than chair)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Retainer for chair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Prior to June 17, 2025, the annual retainers for members of the Compensation Committee was $5,000 per year ($10,000 for the chair), and the annual retainers for members of the Nominating and Corporate Governance Committee was $4,000 per year ($8,000 for the chair). </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In addition, the amended and restated non-employee director compensation policy provides that, upon initial election to our Board of Directors, each non-employee director will receive an initial, one-time stock option award to purchase 34,000 shares (increased from 29,000 shares on June 17, 2025) of our common stock, or the Initial Option Award, and an initial, one-time restricted stock unit award covering 26,000 shares (increased from 21,000 shares on June 17, 2025) of our common stock, or the Initial RSU Award, and together with the Initial Option Award, the Initial Award. The Initial Award will vest in three equal annual installments, and is generally subject to the non-employee director’s continued service through the applicable vesting date. Furthermore, on the date of each annual meeting of stockholders, each non-employee director who continues as a non-employee director following such meeting (other than a non-employee director who received the Initial Award) will be granted an annual stock option award to purchase 17,000 shares (increased from 14,500 shares on June 17, 2025) of our common stock, or the Annual Option Award, and an annual restricted stock unit award covering 13,000 shares (increased from 10,500 shares on June 17, 2025) of our common stock, or the Annual RSU Award, and together with the Annual Option Award, the Annual Award. The Annual Award will vest in full on the earlier of (i) the first anniversary of the grant date or (ii) our next annual meeting of stockholders, and is generally subject to the non-employee director’s continued service through the applicable vesting date. Such awards are subject to full accelerated vesting upon the sale of our Company.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will reimburse all reasonable out-of-pocket expenses incurred by directors for their attendance at meetings of our Board of Directors or any committee thereof.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9" w:name="executive_officers"/>
      <w:bookmarkEnd w:id="9"/>
      <w:r>
        <w:rPr>
          <w:rFonts w:ascii="Times New Roman" w:hAnsi="Times New Roman"/>
          <w:b/>
          <w:color w:val="000000"/>
          <w:sz w:val="20"/>
        </w:rPr>
        <w:t>EXECUTIVE OFFICERS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identifies our executive officers, and sets forth their current positions at Aura Biosciences, Inc., and their ages as of March 31, 2026. </w:t>
      </w:r>
    </w:p>
    <w:p>
      <w:pPr>
        <w:pStyle w:val="TextBody"/>
        <w:bidi w:val="0"/>
        <w:jc w:val="left"/>
        <w:rPr/>
      </w:pPr>
      <w:r>
        <w:rPr/>
        <w:t> </w:t>
      </w:r>
    </w:p>
    <w:tbl>
      <w:tblPr>
        <w:tblW w:w="9959" w:type="dxa"/>
        <w:jc w:val="left"/>
        <w:tblInd w:w="0" w:type="dxa"/>
        <w:tblLayout w:type="fixed"/>
        <w:tblCellMar>
          <w:top w:w="28" w:type="dxa"/>
          <w:left w:w="28" w:type="dxa"/>
          <w:bottom w:w="28" w:type="dxa"/>
          <w:right w:w="28" w:type="dxa"/>
        </w:tblCellMar>
      </w:tblPr>
      <w:tblGrid>
        <w:gridCol w:w="2326"/>
        <w:gridCol w:w="146"/>
        <w:gridCol w:w="5491"/>
        <w:gridCol w:w="146"/>
        <w:gridCol w:w="1051"/>
        <w:gridCol w:w="146"/>
        <w:gridCol w:w="146"/>
        <w:gridCol w:w="316"/>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 Held with Aura Biosciences, Inc.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Officer Since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Elisabet de los Pinos,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President and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Gibney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and Business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Jill Hopkins,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Medical Officer and President of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Conor Kilroy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 Secretary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Plavsic,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Technology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ind w:left="0" w:right="0" w:firstLine="490"/>
        <w:jc w:val="left"/>
        <w:rPr>
          <w:rFonts w:ascii="Times New Roman" w:hAnsi="Times New Roman"/>
          <w:sz w:val="20"/>
        </w:rPr>
      </w:pPr>
      <w:r>
        <w:rPr>
          <w:rFonts w:ascii="Times New Roman" w:hAnsi="Times New Roman"/>
          <w:color w:val="000000"/>
          <w:sz w:val="20"/>
        </w:rPr>
        <w:t>You should refer to “</w:t>
      </w:r>
      <w:r>
        <w:rPr>
          <w:rFonts w:ascii="Times New Roman" w:hAnsi="Times New Roman"/>
          <w:i/>
          <w:color w:val="000000"/>
          <w:sz w:val="20"/>
        </w:rPr>
        <w:t>Class I Directors</w:t>
      </w:r>
      <w:r>
        <w:rPr>
          <w:rFonts w:ascii="Times New Roman" w:hAnsi="Times New Roman"/>
          <w:color w:val="000000"/>
          <w:sz w:val="20"/>
        </w:rPr>
        <w:t xml:space="preserve">” above for information about our Chief Executive Officer and President, Elisabet de los Pinos, Ph.D. Biographical information for our other executive officers, as of March 31, 2026, is set forth below. </w:t>
      </w:r>
    </w:p>
    <w:p>
      <w:pPr>
        <w:pStyle w:val="TextBody"/>
        <w:bidi w:val="0"/>
        <w:spacing w:before="240" w:after="283"/>
        <w:ind w:left="0" w:right="0" w:firstLine="490"/>
        <w:jc w:val="both"/>
        <w:rPr>
          <w:rFonts w:ascii="Times New Roman" w:hAnsi="Times New Roman"/>
          <w:sz w:val="20"/>
        </w:rPr>
      </w:pPr>
      <w:r>
        <w:rPr>
          <w:rFonts w:ascii="Times New Roman" w:hAnsi="Times New Roman"/>
          <w:b/>
          <w:i/>
          <w:color w:val="000000"/>
          <w:sz w:val="20"/>
        </w:rPr>
        <w:t xml:space="preserve">Anthony Gibney </w:t>
      </w:r>
      <w:r>
        <w:rPr>
          <w:rFonts w:ascii="Times New Roman" w:hAnsi="Times New Roman"/>
          <w:color w:val="000000"/>
          <w:sz w:val="20"/>
        </w:rPr>
        <w:t>has served as Chief Financial and Business Officer since March 2025, Anthony is an experienced biotechnology leader and former investment banker who brings over 30 years of experience dedicated to advising and leading biotechnology companies across their businesses, including corporate strategy, business development, finance and investor relations, among many others. Mr. Gibney advised the Company as a senior finance and strategy advisor from March 2025 to May 2025. From May 2024 to May 2025, Mr. Gibney provided strategic and financing consulting services for biotechnology clients. Previously, Mr. Gibney served as the Executive Vice President, Chief Business &amp; Strategy Officer of IVERIC Bio, Inc. from December 2021 until its acquisition by Astellas Pharma Inc. in July 2023. Prior to that, Mr. Gibney served as Chief Financial Officer and Chief Business Officer at Fog Pharmaceuticals, Inc. from May 2020 to December 2021, and as Executive Vice President and Chief Business Officer at Achillion Pharmaceuticals, Inc. from August 2018 until its sale to Alexion Pharmaceuticals, Inc. in May 2020. Before Achillion, Mr. Gibney was a Managing Director and Co-head of Biotechnology Investment Banking at Leerink Partners LLC and Managing Director of Merrill Lynch’s Healthcare Group. Mr. Gibney has served on the board of directors of InflaRx, N.V. since June 2021 and LAPIX Therapeutics, Inc. since January 2024, and previously served on the board of directors of Clearside Biomedical, Inc. (OTC: CLSDQ) from April 2024 to August 2025. Mr. Gibney received a B.A. in Economics and History from Yale University.</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J. Jill Hopkins, M.D.</w:t>
      </w:r>
      <w:r>
        <w:rPr>
          <w:rFonts w:ascii="Times New Roman" w:hAnsi="Times New Roman"/>
          <w:color w:val="000000"/>
          <w:sz w:val="20"/>
        </w:rPr>
        <w:t xml:space="preserve"> has served as our Chief Medical Officer and President of Research &amp; Development since October 2023. Prior to this role, Dr. Hopkins served as senior vice president, global head of ophthalmology and exploratory development at Novartis and chief executive officer of Gyroscope Therapeutics (formerly Nasdaq: VISN), a Novartis company, where she was responsible for the global ophthalmic pipeline and portfolio of medicines, gene therapy, devices and digital solutions to impact eye disease and reduce visual impairment globally. Previously, Dr. Hopkins spent over a decade at Roche-Genentech in roles of increasing responsibility, most recently as global head ophthalmology personalized health care. Before Roche-Genentech, she spent over 20 years in clinical retinal research and academic practice at the University of Toronto, University of Southern California and Retina-Vitreous Associates Medical Group. Dr. Hopkins has over 30 years of cross-sector experience in ophthalmology, spanning clinical care, academia, education, industry, advocacy and innovation. Dr. Hopkins received her M.D. from McMaster University and completed her Ophthalmology residency at the University of Toronto. She has completed fellowships in Retinal Disease from Moorfields Eye Hospital in London UK and in Visual Electrophysiology from the Universities of Toronto and Ottawa. Dr. Hopkins is board certified in Ophthalmology from the American Board of Ophthalmology and the Royal College of Surgeons Canada.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 xml:space="preserve">Conor Kilroy </w:t>
      </w:r>
      <w:r>
        <w:rPr>
          <w:rFonts w:ascii="Times New Roman" w:hAnsi="Times New Roman"/>
          <w:color w:val="000000"/>
          <w:sz w:val="20"/>
        </w:rPr>
        <w:t xml:space="preserve">has served as our Chief Legal Officer and Secretary since January 2025, and served as our General Counsel and Secretary from April 2024 to January 2025. Prior to joining the Company, Mr. Kilroy served as general counsel and secretary at Neurogastrx, Inc. from September 2021 to May 2023. Mr. Kilroy also served in roles of increasing responsibility at Ironwood Pharmaceuticals, Inc. (Nasdaq: IRWD) from June 2013 to February 2021, serving as senior vice president, general counsel and secretary beginning in April 2020 and vice president, general counsel and secretary beginning in April 2019. Prior to Ironwood Pharmaceuticals, Inc., Mr. Kilroy served as corporate counsel, securities at Boston Scientific Corporation (NYSE: BSX). Mr. Kilroy began his career as an associate at Goodwin Procter LLP. Mr. Kilroy holds a B.A. in Politics and Sociology from Brandeis University and a J.D. from Boston College Law School.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Mark Plavsic, Ph.D.</w:t>
      </w:r>
      <w:r>
        <w:rPr>
          <w:rFonts w:ascii="Times New Roman" w:hAnsi="Times New Roman"/>
          <w:color w:val="000000"/>
          <w:sz w:val="20"/>
        </w:rPr>
        <w:t xml:space="preserve"> has served as our Chief Technology Officer since September 2023. Prior to this role, Dr. Plavsic served as chief technology officer at Fate Therapeutics, Inc. (Nasdaq: FATE), a clinical-stage biopharmaceutical company and was previously chief technical officer at Lysogene, a late-stage gene therapy company. Dr. Plavsic also spent over 10 years at Sanofi Genzyme in Technical Operations, where he was head of Product Bio-safety and Global Manufacturing Process Improvement, and in Technology Development &amp; Manufacturing, where he was head of Gene Therapy Development. Before joining Sanofi Genzyme, Dr. Plavsic held various technical leadership positions with AstraZeneca (Nasdaq: AZN), Q-One Biotech Ltd. and Life Technologies. Dr. Plavsic has approximately 30 years of global biopharmaceutical experience including end-to-end technical operations in the United States, Europe and Australasia and successful translation and scale-up of complex biologics from preclinical development through commercial launch and distribution. Dr. Plavsic received his Ph.D. in Virology and Immunology and his DVM from the University of Belgrade, and is board certified in Microbiology, subspeciality Virology from the American College of Veterinary Microbiologists, and Regulatory Affairs Certification credentialed. </w:t>
      </w:r>
    </w:p>
    <w:p>
      <w:pPr>
        <w:pStyle w:val="TextBody"/>
        <w:bidi w:val="0"/>
        <w:spacing w:before="24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0" w:name="executive_compensation"/>
      <w:bookmarkEnd w:id="10"/>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named executive officers for the year ended December 31, 2025 are: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Elisabet de los Pinos, Ph.D., our President and Chief Executive Officer;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Anthony Gibney, our Chief Financial and Business Officer;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 Jill Hopkins, M.D., our Chief Medical Officer and President of Research and Development. </w:t>
      </w:r>
    </w:p>
    <w:p>
      <w:pPr>
        <w:pStyle w:val="TextBody"/>
        <w:bidi w:val="0"/>
        <w:spacing w:before="360" w:after="283"/>
        <w:jc w:val="left"/>
        <w:rPr>
          <w:rFonts w:ascii="Times New Roman" w:hAnsi="Times New Roman"/>
          <w:sz w:val="20"/>
        </w:rPr>
      </w:pPr>
      <w:r>
        <w:rPr>
          <w:rFonts w:ascii="Times New Roman" w:hAnsi="Times New Roman"/>
          <w:b/>
          <w:color w:val="000000"/>
          <w:sz w:val="20"/>
        </w:rPr>
        <w:t>2025 Summary Compensation Table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compensation awarded to, earned by or paid to each of our named executive officers for the years indicated. </w:t>
      </w:r>
    </w:p>
    <w:p>
      <w:pPr>
        <w:pStyle w:val="TextBody"/>
        <w:bidi w:val="0"/>
        <w:jc w:val="left"/>
        <w:rPr/>
      </w:pPr>
      <w:r>
        <w:rPr/>
        <w:t> </w:t>
      </w:r>
    </w:p>
    <w:tbl>
      <w:tblPr>
        <w:tblW w:w="10348" w:type="dxa"/>
        <w:jc w:val="left"/>
        <w:tblInd w:w="0" w:type="dxa"/>
        <w:tblLayout w:type="fixed"/>
        <w:tblCellMar>
          <w:top w:w="28" w:type="dxa"/>
          <w:left w:w="28" w:type="dxa"/>
          <w:bottom w:w="28" w:type="dxa"/>
          <w:right w:w="28" w:type="dxa"/>
        </w:tblCellMar>
      </w:tblPr>
      <w:tblGrid>
        <w:gridCol w:w="1021"/>
        <w:gridCol w:w="146"/>
        <w:gridCol w:w="466"/>
        <w:gridCol w:w="146"/>
        <w:gridCol w:w="146"/>
        <w:gridCol w:w="691"/>
        <w:gridCol w:w="146"/>
        <w:gridCol w:w="196"/>
        <w:gridCol w:w="160"/>
        <w:gridCol w:w="381"/>
        <w:gridCol w:w="146"/>
        <w:gridCol w:w="146"/>
        <w:gridCol w:w="146"/>
        <w:gridCol w:w="826"/>
        <w:gridCol w:w="146"/>
        <w:gridCol w:w="146"/>
        <w:gridCol w:w="146"/>
        <w:gridCol w:w="826"/>
        <w:gridCol w:w="146"/>
        <w:gridCol w:w="146"/>
        <w:gridCol w:w="199"/>
        <w:gridCol w:w="942"/>
        <w:gridCol w:w="146"/>
        <w:gridCol w:w="146"/>
        <w:gridCol w:w="223"/>
        <w:gridCol w:w="918"/>
        <w:gridCol w:w="146"/>
        <w:gridCol w:w="146"/>
        <w:gridCol w:w="146"/>
        <w:gridCol w:w="826"/>
        <w:gridCol w:w="191"/>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Non-Equity</w:t>
              <w:br/>
              <w:t>Incentive Plan</w:t>
              <w:br/>
              <w:t>Compensation</w:t>
              <w:br/>
              <w: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Compensation</w:t>
              <w:br/>
              <w: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Elisabet de los Pinos, Ph.D.</w:t>
              <w:br/>
            </w:r>
            <w:r>
              <w:rPr>
                <w:rFonts w:ascii="Times New Roman" w:hAnsi="Times New Roman"/>
                <w:i/>
                <w:color w:val="000000"/>
                <w:sz w:val="16"/>
              </w:rPr>
              <w:t>President, Chief Executive Officer and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3,956,167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3,604,339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Anthony Gibney</w:t>
              <w:br/>
            </w:r>
            <w:r>
              <w:rPr>
                <w:rFonts w:ascii="Times New Roman" w:hAnsi="Times New Roman"/>
                <w:i/>
                <w:color w:val="000000"/>
                <w:sz w:val="16"/>
              </w:rPr>
              <w:t>Chief Financial and Business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2,751,226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J. Jill Hopkins, M.D.</w:t>
              <w:br/>
            </w:r>
            <w:r>
              <w:rPr>
                <w:rFonts w:ascii="Times New Roman" w:hAnsi="Times New Roman"/>
                <w:i/>
                <w:color w:val="000000"/>
                <w:sz w:val="16"/>
              </w:rPr>
              <w:t>Chief Medical Officer and President of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2,188,965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represent the aggregate grant date fair value of the restricted stock unit and option awards granted to our named executive officers during the fiscal year ended December 31, 2025, computed in accordance with FASB ASC Topic 718. A discussion of the assumptions used in determining grant date fair value may be found in Note 9 to our consolidated financial statements included in our Annual Report for the fiscal year ended December 31, 2025, filed with the SEC on March 30, 2026. This amount does not correspond to the actual value that may be recognized by the named executive officer upon settlement or exercise of the applicable award or sale of the underlying shares of stock. </w:t>
      </w:r>
    </w:p>
    <w:p>
      <w:pPr>
        <w:pStyle w:val="TextBody"/>
        <w:bidi w:val="0"/>
        <w:jc w:val="left"/>
        <w:rPr/>
      </w:pPr>
      <w:r>
        <w:rPr/>
        <w:t> </w:t>
      </w:r>
    </w:p>
    <w:p>
      <w:pPr>
        <w:pStyle w:val="TextBody"/>
        <w:bidi w:val="0"/>
        <w:ind w:left="994" w:right="0" w:hanging="0"/>
        <w:jc w:val="left"/>
        <w:rPr>
          <w:rFonts w:ascii="Times New Roman" w:hAnsi="Times New Roman"/>
          <w:color w:val="000000"/>
          <w:sz w:val="20"/>
        </w:rPr>
      </w:pPr>
      <w:r>
        <w:rPr>
          <w:rFonts w:ascii="Times New Roman" w:hAnsi="Times New Roman"/>
          <w:color w:val="000000"/>
          <w:sz w:val="20"/>
        </w:rPr>
        <w:t>Amounts for Mr. Gibney represent initial equity grants he received in connection with his joining the Company as Chief Financial and Business Officer on May 13, 2025, as well as equity grants he received in connection with advising the Company as a senior finance and strategy advisor from March 2025 to May 2025.</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represent the annual bonuses paid with respect to achievement of our Company performance objectives for 2025 and 2024.</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reported represent matching contributions made by us under our 401(k) plan.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2025 salary includes amounts Mr. Gibney received as our Chief Financial and Business Officer as well as amounts received in connection with advising the Company as a senior finance and strategy advisor.</w:t>
      </w:r>
    </w:p>
    <w:p>
      <w:pPr>
        <w:pStyle w:val="TextBody"/>
        <w:bidi w:val="0"/>
        <w:spacing w:before="360" w:after="283"/>
        <w:jc w:val="left"/>
        <w:rPr>
          <w:rFonts w:ascii="Times New Roman" w:hAnsi="Times New Roman"/>
          <w:sz w:val="20"/>
        </w:rPr>
      </w:pPr>
      <w:r>
        <w:rPr>
          <w:rFonts w:ascii="Times New Roman" w:hAnsi="Times New Roman"/>
          <w:b/>
          <w:color w:val="000000"/>
          <w:sz w:val="20"/>
        </w:rPr>
        <w:t>Narrative to 2025 Summary Compensation Table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Board of Directors and Compensation Committee review compensation annually for our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bonus or long-term incentives.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Compensation Committee is authorized to retain the services of one or more executive compensation advisors, as it sees fit, in connection with the establishment of our executive compensation programs and related policies. In fiscal year 2025, the Compensation Committee continued to retain Pay Governance to provide it with market information, analysis and other advice relating to executive compensation on an ongoing basis. The Compensation Committee engaged Pay Governance to, among other things, assist in developing a group of peer companies to help us benchmark overall compensation for our executive officers, as well as to assess each separate element of compensation. The goal was to ensure that the compensation we offer to our executive officers, individually as well as in the aggregate, is competitive and aligned with our business and executive talent requirements. We do not believe the retention of, and the work performed by, Pay Governance creates any conflict of interest because Pay Governance performs no other work for our Company besides advising the Compensation Committee.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Compensation Committee is responsible for determining the compensation for all executive officers. Based on its discretion, taking into account the factors noted above, the Compensation Committee sets the compensation for each executive officer, including for the Chief Executive Officer, without the Chief Executive Officer present. </w:t>
      </w:r>
    </w:p>
    <w:p>
      <w:pPr>
        <w:pStyle w:val="TextBody"/>
        <w:bidi w:val="0"/>
        <w:spacing w:before="360" w:after="283"/>
        <w:jc w:val="left"/>
        <w:rPr>
          <w:rFonts w:ascii="Times New Roman" w:hAnsi="Times New Roman"/>
          <w:sz w:val="20"/>
        </w:rPr>
      </w:pPr>
      <w:r>
        <w:rPr>
          <w:rFonts w:ascii="Times New Roman" w:hAnsi="Times New Roman"/>
          <w:b/>
          <w:i/>
          <w:color w:val="000000"/>
          <w:sz w:val="20"/>
        </w:rPr>
        <w:t>Base Salaries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are reviewed annually, typically in connection with our annual performance review process, approved by our Board of Directors or Compensation Committee, and may be adjusted from time to time to realign salaries with market levels after taking into account individual responsibilities, performance and experience.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fiscal year 2025, the annual base salary for each of Dr. de los Pinos, Dr. Hopkins, and Mr. Gibney were $645,483, $551,250, and $525,000, respectively. For the portion of 2025 that Mr. Gibney served as a senior finance and strategy advisor prior to becoming our Chief Financial and Business Officer, Mr. Gibney received cash compensation of $5,000 per month. </w:t>
      </w:r>
    </w:p>
    <w:p>
      <w:pPr>
        <w:pStyle w:val="TextBody"/>
        <w:bidi w:val="0"/>
        <w:spacing w:before="360" w:after="283"/>
        <w:jc w:val="left"/>
        <w:rPr>
          <w:rFonts w:ascii="Times New Roman" w:hAnsi="Times New Roman"/>
          <w:sz w:val="20"/>
        </w:rPr>
      </w:pPr>
      <w:r>
        <w:rPr>
          <w:rFonts w:ascii="Times New Roman" w:hAnsi="Times New Roman"/>
          <w:b/>
          <w:i/>
          <w:color w:val="000000"/>
          <w:sz w:val="20"/>
        </w:rPr>
        <w:t>Bonuses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pay cash bonuses to reward our executives for their performance over the fiscal year, based on the achievement of certain corporate performance goals and, if applicable, individual performance goals. We believe such bonuses properly incentivize our named executive officers and allow us to remain competitive within the marketplace. The target annual bonuses for Dr. de los Pinos, Dr. Hopkins, and Mr. Gibney for the fiscal year ended December 31, 2025 were 55%, 50%, and 45% of annual base salary, respectively. Based on our achievement of the applicable performance goals for 2025, the Compensation Committee determined that we had achieved 80% of our corporate goals. The annual bonus for each of our named executive officers was determined based solely on the achievement of our corporate goals. Each named executive earned the annual bonus amount set forth in the 2025 Summary Compensation Table above.</w:t>
      </w:r>
    </w:p>
    <w:p>
      <w:pPr>
        <w:pStyle w:val="TextBody"/>
        <w:bidi w:val="0"/>
        <w:spacing w:before="360" w:after="283"/>
        <w:jc w:val="left"/>
        <w:rPr>
          <w:rFonts w:ascii="Times New Roman" w:hAnsi="Times New Roman"/>
          <w:sz w:val="20"/>
        </w:rPr>
      </w:pPr>
      <w:r>
        <w:rPr>
          <w:rFonts w:ascii="Times New Roman" w:hAnsi="Times New Roman"/>
          <w:b/>
          <w:i/>
          <w:color w:val="000000"/>
          <w:sz w:val="20"/>
        </w:rPr>
        <w:t>Equity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 Accordingly, our Board of Directors or our Compensation Committee periodically reviews the equity incentive compensation of our named executive officers and may grant equity incentive awards to them from time to time. During fiscal year 2025, we granted both options and restricted stock units to our named executive officers. For the portion of 2025 that Mr. Gibney served as a senior finance and strategy advisor prior to becoming our Chief Financial and Business Officer, Mr. Gibney received a grant of 5,000 stock options and 11,500 restricted stock units.</w:t>
      </w:r>
    </w:p>
    <w:p>
      <w:pPr>
        <w:pStyle w:val="TextBody"/>
        <w:bidi w:val="0"/>
        <w:spacing w:before="240" w:after="283"/>
        <w:jc w:val="left"/>
        <w:rPr>
          <w:rFonts w:ascii="Times New Roman" w:hAnsi="Times New Roman"/>
          <w:sz w:val="20"/>
        </w:rPr>
      </w:pPr>
      <w:r>
        <w:rPr>
          <w:rFonts w:ascii="Times New Roman" w:hAnsi="Times New Roman"/>
          <w:b/>
          <w:i/>
          <w:color w:val="000000"/>
          <w:sz w:val="20"/>
        </w:rPr>
        <w:t>Perquisites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generally do not provide perquisites to our executives, other than matching contributions to our 401(k) plan and certain other de minimis perquisites to our executive officers, including our named executive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Aura Biosciences, Inc. 401(k) Plan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maintain a 401(k) retirement savings plan for our employees, including our named executive officers, who satisfy certain eligibility requirements. Our named executive officers are eligible to participate in the 401(k) plan on the same terms as other full-time employees. Our 401(k) plan is intended to qualify for favorable tax treatment under Section 401(a) of the Internal Revenue Code of 1986, as amended, or the Code, and contains a cash or deferred feature that is intended to meet the requirements of Section 401(k) of the Code.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t>
      </w:r>
    </w:p>
    <w:p>
      <w:pPr>
        <w:pStyle w:val="TextBody"/>
        <w:bidi w:val="0"/>
        <w:spacing w:before="360" w:after="283"/>
        <w:jc w:val="left"/>
        <w:rPr>
          <w:rFonts w:ascii="Times New Roman" w:hAnsi="Times New Roman"/>
          <w:sz w:val="20"/>
        </w:rPr>
      </w:pPr>
      <w:r>
        <w:rPr>
          <w:rFonts w:ascii="Times New Roman" w:hAnsi="Times New Roman"/>
          <w:b/>
          <w:color w:val="000000"/>
          <w:sz w:val="20"/>
        </w:rPr>
        <w:t>Executive Employment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Elisabet de los Pinos, Ph.D.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entered into an employment agreement with Dr. de los Pinos, who serves as our Chief Executive Officer, in January 2015, which we amended in October 2017, or as amended, the de los Pinos Employment Agreement. The de los Pinos Employment Agreement provides for Dr. de los Pinos’s at-will employment, base salary and annual target bonus. Dr. de los Pinos is also eligible to participate in the employee benefit plans available to our employees, subject to the terms of those plans. The de los Pinos Employment Agreement contains non-competition and non-solicitation provisions that apply during Dr. de los Pinos’s employment with us and for one year thereafter. The severance benefits under the de los Pinos Employment Agreement are superseded and replaced by the severance payments and benefits under the Company’s Executive Severance Plan, which is described below under the section “— Executive Severance Plan”. </w:t>
      </w:r>
    </w:p>
    <w:p>
      <w:pPr>
        <w:pStyle w:val="TextBody"/>
        <w:bidi w:val="0"/>
        <w:spacing w:before="240" w:after="283"/>
        <w:jc w:val="left"/>
        <w:rPr>
          <w:rFonts w:ascii="Times New Roman" w:hAnsi="Times New Roman"/>
          <w:sz w:val="20"/>
        </w:rPr>
      </w:pPr>
      <w:r>
        <w:rPr>
          <w:rFonts w:ascii="Times New Roman" w:hAnsi="Times New Roman"/>
          <w:b/>
          <w:i/>
          <w:color w:val="000000"/>
          <w:sz w:val="20"/>
        </w:rPr>
        <w:t>J. Jill Hopkins, M.D.</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entered into an employment offer letter with Dr. Hopkins, who serves as our Chief Medical Officer and President of Research &amp; Development, effective as of October 16, 2023, or the Hopkins Offer Letter. Pursuant to the Hopkins Offer Letter, Dr. Hopkins is paid an annual base salary and following the end of each calendar year, Dr. Hopkins is eligible to receive a discretionary annual performance bonus based upon our Board’s assessment of our achievement of company performance goals and Dr. Hopkins’ continued employment with the Company.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severance benefits under the Hopkins Offer Letter are superseded and replaced by the severance payments and benefits under the Company’s Executive Severance Plan, which is described below under the section “— Executive Severance Plan”.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Dr. Hopkins has also entered into a Confidential Information, Non-Solicitation, and Invention Assignment Agreement with us that contains a non-solicitation provision that applies during and for one year following her employment with us and a non-disclosure provision that applies during and following her employment with us. </w:t>
      </w:r>
    </w:p>
    <w:p>
      <w:pPr>
        <w:pStyle w:val="TextBody"/>
        <w:bidi w:val="0"/>
        <w:spacing w:before="240" w:after="283"/>
        <w:jc w:val="left"/>
        <w:rPr>
          <w:rFonts w:ascii="Times New Roman" w:hAnsi="Times New Roman"/>
          <w:sz w:val="20"/>
        </w:rPr>
      </w:pPr>
      <w:r>
        <w:rPr>
          <w:rFonts w:ascii="Times New Roman" w:hAnsi="Times New Roman"/>
          <w:b/>
          <w:i/>
          <w:color w:val="000000"/>
          <w:sz w:val="20"/>
        </w:rPr>
        <w:t>Anthony Gibney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entered into an amended and restated employment offer letter with Mr. Gibney, who serves as our Chief Financial and Business Officer, effective as of May 13, 2025, or the Gibney Offer Letter. Pursuant to the Gibney Offer Letter, Mr. Gibney is paid an annual base salary and following the end of each calendar year, Mr. Gibney is eligible to receive a discretionary annual performance bonus based upon our Board’s assessment of our achievement of company performance goals and Mr. Gibney’s continued employment with the Company.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Mr. Gibney is also a participant in the Company’s Executive Severance Plan, which is described below under the section “— Executive Severance Plan”.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Mr. Gibney has also entered into a Confidential Information, Non-Solicitation, and Invention Assignment Agreement with us that contains a non-solicitation provision that applies during and for one year following his employment with us and a non-disclosure provision that applies during and following his employment with us.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Severance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Compensation Committee has adopted an Executive Severance Plan, or the Severance Plan, for participating executives, including our named executive officers. The Severance Plan provides for severance payments and benefits to covered executives in the event that we terminate the employment of a covered executive without Cause (as defined in the Severance Plan) or if a covered executive resigns with Good Reason (as defined in the Severance Plan). Each such termination or resignation is a “Qualifying Termination”. Upon acceptance of participation in the Severance Plan, the severance payments and benefits under the Severance Plan supersede and replace any severance benefits under any individual employment agreement or offer letter previously entered into between us and a covered executive, including each of our named executive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terms of the Severance Plan, upon a Qualifying Termination outside of the Change of Control Period (defined as the period beginning three months prior and ending 12 months following a Change of Control (as defined in the Severance Plan)), a covered executive will be entitled to receive severance pay in the form of: (i) continuation of the covered executive’s Base Salary (as defined in the Severance Plan) for nine months (12 months in the case of Dr. de los Pinos), and (ii) payment to the group health plan provider or the Consolidated Omnibus Budget Reconciliation Act, or COBRA, provider of the employer cost of the COBRA premiums at the time of the Qualifying Termination applicable to the covered executive and his or her eligible dependents for a period of up to nine months (up to 12 months in the case of Dr. de los Pinos).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Upon a Qualifying Termination within the Change in Control Period, a covered executive will be entitled to receive severance pay in the form of: (i) a lump sum cash payment equivalent to 12 months (18 months in the case of Dr. de los Pinos) of the covered executive’s Base Salary, (ii) a lump sum cash payment equivalent to one times (one and one-half times in the case of Dr. de los Pinos) the covered executive’s Target Bonus (as defined in the Severance Plan) plus the covered executive’s Target Bonus pro-rated for the number of days of service during the year in which the Qualifying Termination occurs, (iii) payment to the group health plan provider or the COBRA provider of the employer cost of the COBRA premiums at the time of the Qualifying Termination applicable to the covered executive and his or her eligible dependents for a period of up to 12 months (18 months in the case of Dr. de los Pinos), and (iii) to cause equity awards with time-based vesting held by the covered executive to immediately become fully vested, exercisable or nonforfeitable. For equity awards held by a covered executive as of November 10, 2024, the effective date of the Severance Plan, such awards shall immediately become fully vested, exercisable or nonforfeitable upon a Change of Control.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described more fully in the Severance Plan, in order to receive the foregoing benefits, a covered executive must execute a separation agreement and general release of claims in our favor and affirm his or her continuing obligations towards the Company, including his or her ongoing restrictive covenants.</w:t>
      </w:r>
    </w:p>
    <w:p>
      <w:pPr>
        <w:pStyle w:val="TextBody"/>
        <w:bidi w:val="0"/>
        <w:spacing w:before="360" w:after="283"/>
        <w:jc w:val="left"/>
        <w:rPr>
          <w:rFonts w:ascii="Times New Roman" w:hAnsi="Times New Roman"/>
          <w:sz w:val="20"/>
        </w:rPr>
      </w:pPr>
      <w:r>
        <w:rPr>
          <w:rFonts w:ascii="Times New Roman" w:hAnsi="Times New Roman"/>
          <w:b/>
          <w:color w:val="000000"/>
          <w:sz w:val="20"/>
        </w:rPr>
        <w:t>Compensation Risk Assessment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Outstanding Equity Awards at Fiscal 2025 Year-End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information regarding outstanding equity awards held by our named executive officers as of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5"/>
        <w:gridCol w:w="146"/>
        <w:gridCol w:w="774"/>
        <w:gridCol w:w="146"/>
        <w:gridCol w:w="170"/>
        <w:gridCol w:w="806"/>
        <w:gridCol w:w="146"/>
        <w:gridCol w:w="146"/>
        <w:gridCol w:w="193"/>
        <w:gridCol w:w="918"/>
        <w:gridCol w:w="146"/>
        <w:gridCol w:w="274"/>
        <w:gridCol w:w="159"/>
        <w:gridCol w:w="563"/>
        <w:gridCol w:w="146"/>
        <w:gridCol w:w="146"/>
        <w:gridCol w:w="266"/>
        <w:gridCol w:w="636"/>
        <w:gridCol w:w="146"/>
        <w:gridCol w:w="146"/>
        <w:gridCol w:w="179"/>
        <w:gridCol w:w="850"/>
        <w:gridCol w:w="146"/>
        <w:gridCol w:w="274"/>
        <w:gridCol w:w="146"/>
        <w:gridCol w:w="826"/>
        <w:gridCol w:w="196"/>
      </w:tblGrid>
      <w:tr>
        <w:trPr/>
        <w:tc>
          <w:tcPr>
            <w:tcW w:w="1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OPTION AWARDS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w:t>
              <w:br/>
              <w:t>Unexercisable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br/>
              <w:t>or Units</w:t>
              <w:br/>
              <w:t>of Stock</w:t>
              <w:br/>
              <w:t>That Have</w:t>
              <w:br/>
              <w:t>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Market</w:t>
              <w:br/>
              <w:t>Value of</w:t>
              <w:br/>
              <w:t>Shares or</w:t>
              <w:br/>
              <w:t>Units of</w:t>
              <w:br/>
              <w:t>Stock That</w:t>
              <w:br/>
              <w:t>Have Not</w:t>
              <w:br/>
              <w:t>Vested ($)</w:t>
            </w:r>
            <w:r>
              <w:rPr>
                <w:rFonts w:ascii="Times New Roman" w:hAnsi="Times New Roman"/>
                <w:b/>
                <w:color w:val="000000"/>
                <w:sz w:val="11"/>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Elisabet de los Pinos,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1,059,044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665,995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332,107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Anthony Gibney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 Jill Hopkins,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367,875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Each of the outstanding equity awards in the table above granted prior to our initial public offering, or IPO, was granted pursuant to our Amended and Restated 2009 Stock Option and Restricted Stock Plan, or the 2009 Plan, or the 2018 Plan. Each of the outstanding equity awards in the table above granted following our IPO was granted pursuant to the 2021 Plan.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are equal to $5.45, the closing price of our common stock on December 31, 2025, the last trading day of 2025, times the number of unvested restricted stock units.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restricted stock units vest in four equal annual installments following February 15,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25% of the shares subject to this stock option vest on the first anniversary of February 3, 2025, with the remainder vesting thereafter in 36 equal monthly installments.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restricted stock units vest in four equal annual installments following February 15,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25% of the shares subject to this stock option vest on the first anniversary of February 1, 2024, with the remainder vesting thereafter in 36 equal monthly installments.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restricted stock units vest in four equal annual installments following January 19, 2023.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25% of the shares subject to this stock option vest on the first anniversary of January 19, 2023, with the remainder vesting thereafter in 36 equal monthly installments.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restricted stock units vest in four equal annual installments following June 15,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25% of the shares subject to this stock option vest on the first anniversary of May 13, 2025, with the remainder vesting thereafter in 36 equal monthly installments.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restricted stock units vest in four equal annual installments following November 15, 2023.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jc w:val="left"/>
        <w:rPr>
          <w:rFonts w:ascii="Times New Roman" w:hAnsi="Times New Roman"/>
          <w:color w:val="000000"/>
          <w:sz w:val="20"/>
        </w:rPr>
      </w:pPr>
      <w:r>
        <w:rPr>
          <w:rFonts w:ascii="Times New Roman" w:hAnsi="Times New Roman"/>
          <w:color w:val="000000"/>
          <w:sz w:val="20"/>
        </w:rPr>
        <w:t>25% of the shares subject to this stock option vest on the first anniversary of October 16, 2023, with the remainder vesting thereafter in 36 equal monthly installments.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Policies and Practices Related to Timing of Equity Awards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adopted an Equity Award Grant Policy that sets forth the process for us to follow when we grant equity awards to our executive officers and other employees. Our general practice is to not take material nonpublic information into account when determining the timing and terms of an award and to not time the disclosure of material nonpublic information for the purpose of affecting the value of executive compensation.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Generally, equity awards are granted on the following regularly scheduled basis as set forth in the policy:</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awards to newly hired or promoted employees are granted on the first trading day of the month following the later of the date employment begins or promotion occurs or the date on which the grant is approved; and</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equity awards to our employees, including our executive officers, are granted in the first quarter each year and effective on the first trading day of the month following the date on which the grant is approved.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fiscal year 2025, we did not grant shares or options to our named executive officers during the four business days prior to or the one business day following the filing of our periodic reports or the filing or furnishing of a Form 8-K that discloses material nonpublic information.</w:t>
      </w:r>
    </w:p>
    <w:p>
      <w:pPr>
        <w:pStyle w:val="TextBody"/>
        <w:bidi w:val="0"/>
        <w:spacing w:before="360" w:after="283"/>
        <w:jc w:val="left"/>
        <w:rPr>
          <w:rFonts w:ascii="Times New Roman" w:hAnsi="Times New Roman"/>
          <w:sz w:val="20"/>
        </w:rPr>
      </w:pPr>
      <w:r>
        <w:rPr>
          <w:rFonts w:ascii="Times New Roman" w:hAnsi="Times New Roman"/>
          <w:b/>
          <w:color w:val="000000"/>
          <w:sz w:val="20"/>
        </w:rPr>
        <w:t>Equity Compensation Plan Information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provides information as of December 31, 2025 with respect to the shares of our common stock that may be issued under our existing equity compensation plans. </w:t>
      </w:r>
    </w:p>
    <w:p>
      <w:pPr>
        <w:pStyle w:val="TextBody"/>
        <w:bidi w:val="0"/>
        <w:jc w:val="left"/>
        <w:rPr/>
      </w:pPr>
      <w:r>
        <w:rPr/>
        <w:t> </w:t>
      </w:r>
    </w:p>
    <w:tbl>
      <w:tblPr>
        <w:tblW w:w="8554" w:type="dxa"/>
        <w:jc w:val="left"/>
        <w:tblInd w:w="0" w:type="dxa"/>
        <w:tblLayout w:type="fixed"/>
        <w:tblCellMar>
          <w:top w:w="28" w:type="dxa"/>
          <w:left w:w="28" w:type="dxa"/>
          <w:bottom w:w="28" w:type="dxa"/>
          <w:right w:w="28" w:type="dxa"/>
        </w:tblCellMar>
      </w:tblPr>
      <w:tblGrid>
        <w:gridCol w:w="2401"/>
        <w:gridCol w:w="146"/>
        <w:gridCol w:w="238"/>
        <w:gridCol w:w="1352"/>
        <w:gridCol w:w="146"/>
        <w:gridCol w:w="226"/>
        <w:gridCol w:w="371"/>
        <w:gridCol w:w="1070"/>
        <w:gridCol w:w="146"/>
        <w:gridCol w:w="226"/>
        <w:gridCol w:w="248"/>
        <w:gridCol w:w="1567"/>
        <w:gridCol w:w="146"/>
        <w:gridCol w:w="27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to be issued upon</w:t>
              <w:br/>
              <w:t>exercise of</w:t>
              <w:br/>
              <w:t>outstanding options,</w:t>
              <w:br/>
              <w:t>warrants and rights</w:t>
              <w:br/>
              <w:t>(#)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br/>
              <w:t>of outstanding</w:t>
              <w:br/>
              <w:t>options, warrants</w:t>
              <w:br/>
              <w:t>and rights ($)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 for</w:t>
              <w:br/>
              <w:t>issuance under equity</w:t>
              <w:br/>
              <w:t>compensation plans</w:t>
              <w:br/>
              <w:t>(excluding securities</w:t>
              <w:br/>
              <w:t>reflected in column (a))</w:t>
              <w:br/>
              <w:t>(#) (c)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Equity compensation plans</w:t>
              <w:br/>
              <w:t>   approved by security holders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9,158,359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11,149,306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compensation plans not</w:t>
              <w:br/>
              <w: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9,158,359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11,149,306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the following plans: the 2009 Plan, the 2018 Plan, the 2021 Plan, and our 2021 Employee Stock Purchase Plan, or the 2021 ESPP.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6,467,582 shares issuable upon the exercise of outstanding options under the 2009 Plan, the 2018 Plan, and the 2021 Plan and 2,690,777 shares issuable upon the vesting of outstanding restricted stock units. This does not include purchase rights under the 2021 ESPP because the purchase right (and therefore the number of shares to be purchased) will not be determined until the end of the current purchase period. Since restricted stock units do not have any exercise price, such units are not included in the weighted average exercise price calculation.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a total of 3,847,257 shares of our common stock have been reserved for issuance pursuant to the 2021 Plan, which number excludes the 3,179,388 shares that were added to the 2021 Plan as a result of the automatic annual increase on January 1, 2026. The 2021 Plan provides that the number of shares reserved and available for issuance under the plan will automatically increase each January 1, beginning on January 1, 2022, by 5%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2021 Plan, the 2018 Plan and the 2009 Plan will be added back to the shares of common stock available for issuance under the 2021 Plan. Our Company no longer makes grants under the 2009 Plan and 2018 Plan. As of December 31, 2025, a total of 1,565,471 shares of our common stock have been reserved for issuance pursuant to the 2021 ESPP, which number excludes the 335,217 shares that were added to the plan as a result of the automatic annual increase on January 1, 2026. The 2021 ESPP provides that the number of shares reserved and available for issuance under the plan will automatically increase each January 1, beginning on January 1, 2022, by the lesser of (i) 335,217 shares of our common stock, (ii) 1% of the outstanding number of shares of our common stock on the immediately preceding December 31 or (iii) such lesser number of shares as determined by the Compensation Committee. This number will be subject to adjustment in the event of a stock split, stock dividend or other change in our capitalization.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1" w:name="certain_relationships_and_related_party"/>
      <w:bookmarkEnd w:id="11"/>
      <w:r>
        <w:rPr>
          <w:rFonts w:ascii="Times New Roman" w:hAnsi="Times New Roman"/>
          <w:b/>
          <w:color w:val="000000"/>
          <w:sz w:val="20"/>
        </w:rPr>
        <w:t>CERTAIN RELATIONSHIPS AND RELATED PARTY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Certain Relationships and Transactions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than the compensation agreements and other arrangements described under “Executive Compensation” and “Non-Employee Director Compensation” in this proxy statement and the transactions described below, since January 1, 2024, there has not been and there is not currently proposed, any transaction or series of similar transactions to which we were, or will be, a party in which the amount involved exceeded, or will exceed, $120,000 (or, if less, 1% of the average of our total assets amounts at December 31, 2024 and 2025)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Participants in our May 2025 Follow-On Offering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May 2025, we issued and sold 11,735,565 shares of common stock, pre-funded warrants to purchase up to 3,571,435 shares of common stock, and accompanying warrants to purchase an aggregate of 3,826,750 shares of common stock in a public follow-on offering. Each share of common stock was sold together with an accompanying common stock warrant to purchase 0.25 shares of common stock at a combined offering price of $4.90. Each pre-funded warrant was sold together with an accompanying common stock warrant to purchase 0.25 shares of common stock at a combined offering price of $4.8999. We received approximately $69.9 million in net proceeds from the follow-on offering after deducting underwriting discounts and commissions and offering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Certain of our directors, executive officers, 5% stockholders and their affiliates purchased shares of our common stock in the follow-on offering at a combined offering purchase price of $4.90 for each such share of common stock offered and sold together with a common stock warrant and a combined offering purchase price of $4.89999 for each such pre-funded warrant offered and sold together with an accompanying common stock warrant. The following table sets forth the number of shares of our common stock purchased by directors, executive officers, 5% stockholders and their affiliates and the aggregate purchase price paid for such shares:</w:t>
      </w:r>
    </w:p>
    <w:tbl>
      <w:tblPr>
        <w:tblW w:w="10205" w:type="dxa"/>
        <w:jc w:val="left"/>
        <w:tblInd w:w="0" w:type="dxa"/>
        <w:tblLayout w:type="fixed"/>
        <w:tblCellMar>
          <w:top w:w="28" w:type="dxa"/>
          <w:left w:w="28" w:type="dxa"/>
          <w:bottom w:w="28" w:type="dxa"/>
          <w:right w:w="28" w:type="dxa"/>
        </w:tblCellMar>
      </w:tblPr>
      <w:tblGrid>
        <w:gridCol w:w="2981"/>
        <w:gridCol w:w="146"/>
        <w:gridCol w:w="146"/>
        <w:gridCol w:w="931"/>
        <w:gridCol w:w="146"/>
        <w:gridCol w:w="146"/>
        <w:gridCol w:w="215"/>
        <w:gridCol w:w="1381"/>
        <w:gridCol w:w="146"/>
        <w:gridCol w:w="146"/>
        <w:gridCol w:w="241"/>
        <w:gridCol w:w="1540"/>
        <w:gridCol w:w="146"/>
        <w:gridCol w:w="146"/>
        <w:gridCol w:w="262"/>
        <w:gridCol w:w="1290"/>
        <w:gridCol w:w="196"/>
      </w:tblGrid>
      <w:tr>
        <w:trPr/>
        <w:tc>
          <w:tcPr>
            <w:tcW w:w="2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Purchase Price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Anthony Gibney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David M. Johnson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Suvretta Capital Management, LLC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6,446,269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Frazier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Adage Capital Management, LP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17,499,996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 Focus Capital Management, LP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Mr. Gibney is our Chief Financial and Business Officer. </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Johnson is the chairman of our board of directors.</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Suvretta Capital Management, LLC, or Suvretta, is the investment manager of Averill Master Fund, Ltd. and Averill Madison Master Fund, Ltd. Aaron Cowen is a control person of Suvretta Capital Management, LLC. Suvretta beneficially owns five percent or more of our outstanding capital stock. </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entities affiliated with Frazier, defined below, beneficially own five percent or more of our outstanding capital stock.</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Adage Capital Management, LP beneficially owns five percent or more of our outstanding capital stock.</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 xml:space="preserve">Long Focus Capital Management, LP beneficially owns five percent or more of our outstanding capital stock.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Agreements with Stockholders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our Series E convertible preferred stock financing,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IPO in November 2021, except for the registration rights granted under our investors’ rights agreement, as more fully described in our Description of Securities, filed as Exhibit 4.1 to our Annual Report on Form 10-K for the fiscal year ended December 31, 2025, filed with the SEC on March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entered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the DGCL. </w:t>
      </w:r>
    </w:p>
    <w:p>
      <w:pPr>
        <w:pStyle w:val="TextBody"/>
        <w:bidi w:val="0"/>
        <w:spacing w:before="240" w:after="240"/>
        <w:jc w:val="left"/>
        <w:rPr>
          <w:rFonts w:ascii="Times New Roman" w:hAnsi="Times New Roman"/>
          <w:sz w:val="20"/>
        </w:rPr>
      </w:pPr>
      <w:r>
        <w:rPr>
          <w:rFonts w:ascii="Times New Roman" w:hAnsi="Times New Roman"/>
          <w:b/>
          <w:color w:val="000000"/>
          <w:sz w:val="20"/>
        </w:rPr>
        <w:t>Policies for Approval of Related Party Transactions</w:t>
      </w:r>
      <w:r>
        <w:rPr>
          <w:rFonts w:ascii="Times New Roman" w:hAnsi="Times New Roman"/>
          <w:color w:val="000000"/>
          <w:sz w:val="20"/>
        </w:rPr>
        <w:t xml:space="preserve">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Our Board of Directors has adopted a written related party transactions policy that provides that such transactions must be approved by our Audit Committee.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is defined as a director, executive officer, nominee for director, or greater than 5% beneficial owner of our common stock, in each case since the beginning of the most recently completed year, and their immediate family members.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2" w:name="principal_stockholders"/>
      <w:bookmarkEnd w:id="12"/>
      <w:r>
        <w:rPr>
          <w:rFonts w:ascii="Times New Roman" w:hAnsi="Times New Roman"/>
          <w:b/>
          <w:color w:val="000000"/>
          <w:sz w:val="20"/>
        </w:rPr>
        <w:t>PRINCIPAL STOCKHOLDERS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information, to the extent known by us or ascertainable from public filings, with respect to the beneficial ownership of our common stock as of March 31, 2026 by: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directors;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named executive officers;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directors and executive officers as a group;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person, or group of affiliated persons, who is known by us to beneficially own greater than 5.0% of our common stock.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column entitled “Shares Beneficially Owned” is based on a total of 64,150,468 shares of our common stock outstanding as of March 31,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Beneficial ownership is determined in accordance with the rules and regulations of the SEC and includes voting or investment power with respect to our common stock. Shares of our common stock subject to options that are currently exercisable or exercisable within 60 days of March 31, 2026, as well as restricted stock units vesting within 60 days after March 31,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w:t>
      </w:r>
    </w:p>
    <w:p>
      <w:pPr>
        <w:pStyle w:val="TextBody"/>
        <w:bidi w:val="0"/>
        <w:jc w:val="left"/>
        <w:rPr/>
      </w:pPr>
      <w:r>
        <w:rPr/>
        <w:t> </w:t>
      </w:r>
    </w:p>
    <w:tbl>
      <w:tblPr>
        <w:tblW w:w="7188" w:type="dxa"/>
        <w:jc w:val="left"/>
        <w:tblInd w:w="0" w:type="dxa"/>
        <w:tblLayout w:type="fixed"/>
        <w:tblCellMar>
          <w:top w:w="28" w:type="dxa"/>
          <w:left w:w="28" w:type="dxa"/>
          <w:bottom w:w="28" w:type="dxa"/>
          <w:right w:w="28" w:type="dxa"/>
        </w:tblCellMar>
      </w:tblPr>
      <w:tblGrid>
        <w:gridCol w:w="4441"/>
        <w:gridCol w:w="146"/>
        <w:gridCol w:w="146"/>
        <w:gridCol w:w="931"/>
        <w:gridCol w:w="146"/>
        <w:gridCol w:w="146"/>
        <w:gridCol w:w="218"/>
        <w:gridCol w:w="698"/>
        <w:gridCol w:w="316"/>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address of beneficial owner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&gt; 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Adage Capital Partners, L.P.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Matrix Capital Management Master Fund, LP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Frazier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Suvretta Capital Management, LLC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5,030,666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 Focus Capital Management, LLC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BlackRock, Inc.</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Elisabet de los Pinos, Ph.D.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 Jill Hopkins, M.D. </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Anthony Gibney </w:t>
            </w: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David Johnson </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Giovanni Mariggi,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Sapna Srivastava, Ph.D.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Antony Mattessich </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Teresa Bitetti </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Karan Takhar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current executive officers and directors as a group</w:t>
              <w:br/>
              <w:t>   (11 persons)</w:t>
            </w:r>
            <w:r>
              <w:rPr>
                <w:rFonts w:ascii="Times New Roman" w:hAnsi="Times New Roman"/>
                <w:color w:val="000000"/>
                <w:sz w:val="13"/>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idi w:val="0"/>
        <w:spacing w:before="120" w:after="283"/>
        <w:ind w:left="489" w:right="0" w:hanging="490"/>
        <w:jc w:val="left"/>
        <w:rPr>
          <w:rFonts w:ascii="Times New Roman" w:hAnsi="Times New Roman"/>
          <w:color w:val="000000"/>
          <w:sz w:val="20"/>
        </w:rPr>
      </w:pPr>
      <w:r>
        <w:rPr>
          <w:rFonts w:ascii="Times New Roman" w:hAnsi="Times New Roman"/>
          <w:color w:val="000000"/>
          <w:sz w:val="20"/>
        </w:rPr>
        <w:t xml:space="preserve">*Represents beneficial ownership of less than one percent.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indicated, the address for each beneficial owner is c/o Aura Biosciences, Inc., 80 Guest Street, Boston, MA 02135.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herein is based on the Schedule 13G/A filed with the SEC on November 12, 2024, jointly, by Adage Capital Partners, L.P., or ACP, Adage Capital Partners GP, L.L.C., or ACPGP, Adage Capital Management, L.P., or ACM, Robert Atchinson and Phillip Gross, and our warrant records. ACP is the record owner of 4,881,125 shares of common stock, 892,859 warrants to purchase shares of common stock that are exercisable within 60 days of March 31, 2026 and 3,571,435 pre-funded warrants to purchase shares of common stock that are exercisable within 60 days of March 31, 2026. ACPGP is the general partner of ACP. ACM is the investment manager of ACP. Mr. Atchinson is (a) a managing member of Adage Capital Advisors, L.L.C., or ACA, managing member of ACPGP, and (b) a managing member of Adage Capital Partners LLC, or ACPLLC, general partner of ACM. Mr. Gross is (a) a managing member of ACA, managing member of ACPGP, and (b) a managing member of ACPLLC, general partner of ACM. Mr. Atchinson and Mr. Gross have shared power to vote the shares beneficially owned by ACP. The address for ACP, Mr. Atchinson and Mr. Gross is 200 Clarendon Street, 52nd floor, Boston, Massachusetts 02116.</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herein is based on the Schedule 13D/A filed with the SEC on May 19, 2025, jointly, by Matrix Capital Management Company LP, or Investment Manager, and David E. Goel. Investment Manager is the record owner of 6,922,870 shares of common stock. Mr. Goel serves as the managing general partner of Investment Manager with respect to the shares of common stock held by Matrix. Karan Takhar, a member of our Board of Directors, is a senior managing director of Matrix and may be deemed to have voting and dispositive power over the shares held by Matrix. The mailing address for Matrix is 1000 Winter Street, Suite 4500, Waltham, Massachusetts 02451.</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herein is based on the Schedule 13G/A filed with the SEC on February 13, 2026, jointly, by Frazier Life Sciences Public Fund, L.P., FHMLSP, L.P., FHMLSP, L.L.C., Frazier Life Sciences X, L.P., or FLS X, FHMLS X, L.P., FHMLS X, L.L.C., Frazier Life Sciences XI, L.P., or FLS XI, FHMLS XI, L.P., FHMLS XI, L.L.C., Frazier Life Sciences XII, L.P., or FLS XII, FHMLS XII, L.P., FHMLS XII, L.L.C., James N. Topper and Patrick J. Heron. Frazier Life Sciences Public Fund, L.P. is the record owner of 4,032,060 shares of common stock and 1,008,016 warrants to purchase shares of common stock that are exercisable within 60 days of March 31, 2026. FHMLSP, L.P. is the general partner of Frazier Life Sciences Public Fund, L.P. and the general partner of FHMLSP, L.P. is FHMLSP, L.L.C., which is managed by an investment committee of four that acts by majority vote. Accordingly, no members of such committee are attributed beneficial ownership of the securities directly held by Frazier Life Sciences Public Fund, L.P. FLS X is the record owner of 128,520 shares of common stock and 32,130 warrants to purchase shares of common stock that are exercisable within 60 days of March 31, 2026. FHMLS X, L.P. is the general partner of FLS X and FHMLS X, L.L.C. is the general partner of FHMLS X, L.P. Heron and Topper are the members of FHMLS X, L.L.C. and therefore share voting and investment power over the shares of common stock held by FLS X. FLS XI is the record owner of 342,210 shares of common stock and 85,552 warrants to purchase shares of common stock that are exercisable within 60 days of March 31, 2026.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FLS XII is the record owner of 597,210 shares of common stock and 149,302 warrants to purchase shares of common stock that are exercisable within 60 days of March 31, 2026.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The address for each of the entities and individuals identified in this footnote is 1001 Page Mill Rd, Building 4, Suite B, Palo Alto, CA 94304.</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herein is based on a Schedule 13G/A filed with the SEC on August 13, 2025, jointly, by Suvretta Capital Management, LLC, Averill Master Fund, Ltd., Averill Madison Master Fund, Ltd. (together with Averill Master Fund, Ltd., the Averill Funds) and Aaron Cowen and our warrant records. Suvretta Capital Management, LLC is the investment manager of the Averill Funds. Aaron Cowen is a control person of Suvretta Capital Management, LLC. Averill Master Fund, Ltd. is the record owner of 4,137,797 shares of common stock as well as 288,397 warrants to purchase common stock that are exercisable within 60 days of March 31, 2026, Averill Madison Master Fund, Ltd. is the record owner of 40,494 warrants to purchase common stock that are exercisable within 60 days of March 31, 2026, and Suvretta Capital Management, LLC and Aaron Cowen are indirect beneficial owners of 4,701,775 shares of common stock as well as 328,891 warrants to purchase common stock that are exercisable within 60 days of March 31, 2026. The address for Suvretta Capital Management, LLC and Aaron Cowen is 540 Madison Avenue, 7th Floor New York, New York 10022.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herein is based on the Schedule 13G/A filed with the SEC on May 15, 2025, jointly, by Long Focus Capital Management, LLC and John Helmers, and our common stock records, and our warrant records for Long Focus Capital Master, Ltd. and Condagua, LLC. Long Focus Capital Management, LLC is the record owner of 4,619,582 shares of common stock. Long Focus Capital Master, Ltd. is the record owner of 239,500 warrants to purchase shares of common stock that are exercisable within 60 days of March 31, 2026. Condagua, LLC is the record owner of 85,500 warrants to purchase shares of common stock that are exercisable within 60 days of March 31, 2026. Pursuant to an investment management agreement, Long Focus Capital Management, LLC maintains investment and voting power with respect to the securities held by Long Focus Capital Master, Ltd. John Helmers controls Long Focus Capital Management, LLC and has investment and voting power with respect to Condagua, LLC. Glenn Helmers controls Condagua, LLC. The address for each of the entities and individuals identified in this footnote is 207 Calle del Parque, A&amp;M Tower, 8th Floor, San Juan, PR 00912.</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herein is based on the Schedule 13G filed with the SEC on October 17, 2025, by BlackRock, Inc. BlackRock, Inc. is the record owner of 3,336,027 shares of common stock, of which it has sole dispositive power. BlackRock, Inc. has sole voting power with respect to 3,274,730 shares of common stock. The address for BlackRock, Inc. is 50 Hudson Yards, New York, NY 10001.</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127,763 shares of common stock held of record by EdlP Revocable Trust, (ii) 152,140 shares of common stock held individually, and (iii) options to purchase 1,917,892 shares of our common stock that are exercisable within 60 days of March 31, 2026.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60,051 shares of common stock held individually, and (ii) options to purchase 117,303 shares of our common stock that are exercisable within 60 days of March 31, 2026.</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56,933 shares of common stock held individually, (ii) options to purchase 67,500 shares of our common stock that are exercisable within 60 days of March 31, 2026, and (iii) warrants to purchase 12,500 shares of our common stock that are exercisable within 60 days of March 31, 2026.</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(i) 139,672 shares of common stock held by Velocity Capital Management LLC, an entity that Mr. Johnson is the sole member of, (ii) 155,667 shares of common stock held individually, (iii) 150,000 shares of common stock held in irrevocable trusts, (iv) options to purchase 391,667 shares of our common stock that are exercisable within 60 days of March 31, 2026, which are individually held by Mr. Johnson, and (v) warrants to purchase 5,000 shares of our common stock that are exercisable within 60 days of March 31, 2026.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10,500 shares of common stock held individually, and (ii) options to purchase 116,149 shares of our common stock that are exercisable within 60 days of March 31, 2026.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10,500 shares of common stock held individually, and (ii) options to purchase 116,149 shares of our common stock that are exercisable within 60 days of March 31, 2026.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7,000 shares of common stock issuable upon the vesting of restricted stock units within 60 days of March 31, 2026, and (ii) options to purchase 9,666 shares of our common stock that are exercisable within 60 days of March 31, 2026.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939,898 shares of common stock, (ii) 31,000 shares of common stock issuable upon the vesting of restricted stock units within 60 days of March 31, 2026, (iii) options to purchase 2,963,865 shares of our common stock that are exercisable within 60 days of March 31, 2026, and (iv) warrants to purchase 17,500 shares of our common stock that are exercisable within 60 days of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3" w:name="report_of_the_audit_committee"/>
      <w:bookmarkEnd w:id="13"/>
      <w:r>
        <w:rPr>
          <w:rFonts w:ascii="Times New Roman" w:hAnsi="Times New Roman"/>
          <w:b/>
          <w:color w:val="000000"/>
          <w:sz w:val="20"/>
        </w:rPr>
        <w:t>REPORT OF THE AUDIT COMMITTEE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Audit Committee is appointed by the Board of Directors to assist the Board of Directors in fulfilling its oversight responsibilities with respect to (1) the integrity of Aura’s financial statements and financial reporting process and systems of internal controls regarding finance, accounting, and compliance with legal and regulatory requirements, (2) the qualifications, independence, and performance of Aura’s independent registered public accounting firm, (3) the performance of Aura’s internal audit function, if any, and (4) other matters as set forth in the charter of the Audit Committee approved by the Board of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Management is responsible for the preparation of Aura’s consolidated financial statements and the financial reporting process, including its system of internal control over financial reporting and its disclosure controls and procedures. The independent registered public accounting firm is responsible for performing an audit of Aura’s financial statements in accordance with the standards of the Public Company Accounting Oversight Board (PCAOB) and issuing a report thereon. The Audit Committee’s responsibility is to monitor and oversee these processes.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connection with these responsibilities, the Audit Committee reviewed and discussed with management and the independent registered public accounting firm the audited consolidated financial statements of Aura Biosciences, Inc. for the fiscal year ended December 31, 2025. The Audit Committee also discussed with the independent registered public accounting firm the matters required to be discussed by the PCAOB’s Auditing Standard No. 1301, </w:t>
      </w:r>
      <w:r>
        <w:rPr>
          <w:rFonts w:ascii="Times New Roman" w:hAnsi="Times New Roman"/>
          <w:i/>
          <w:color w:val="000000"/>
          <w:sz w:val="20"/>
        </w:rPr>
        <w:t>Communication with Audit Committees</w:t>
      </w:r>
      <w:r>
        <w:rPr>
          <w:rFonts w:ascii="Times New Roman" w:hAnsi="Times New Roman"/>
          <w:color w:val="000000"/>
          <w:sz w:val="20"/>
        </w:rPr>
        <w:t xml:space="preserve">.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Based on the reviews and discussions referred to above, the Audit Committee recommended to the Board of Directors that the audited consolidated financial statements of Aura Biosciences be included in Aura’s 2025 Annual Report,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OF THE BOARD OF </w:t>
      </w:r>
    </w:p>
    <w:p>
      <w:pPr>
        <w:pStyle w:val="TextBody"/>
        <w:bidi w:val="0"/>
        <w:jc w:val="left"/>
        <w:rPr>
          <w:rFonts w:ascii="Times New Roman" w:hAnsi="Times New Roman"/>
          <w:color w:val="000000"/>
          <w:sz w:val="20"/>
        </w:rPr>
      </w:pPr>
      <w:r>
        <w:rPr>
          <w:rFonts w:ascii="Times New Roman" w:hAnsi="Times New Roman"/>
          <w:color w:val="000000"/>
          <w:sz w:val="20"/>
        </w:rPr>
        <w:t xml:space="preserve">DIRECTORS OF AURA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Sapna Srivastava, Ph.D., Chairperson </w:t>
      </w:r>
    </w:p>
    <w:p>
      <w:pPr>
        <w:pStyle w:val="TextBody"/>
        <w:bidi w:val="0"/>
        <w:jc w:val="left"/>
        <w:rPr>
          <w:rFonts w:ascii="Times New Roman" w:hAnsi="Times New Roman"/>
          <w:color w:val="000000"/>
          <w:sz w:val="20"/>
        </w:rPr>
      </w:pPr>
      <w:r>
        <w:rPr>
          <w:rFonts w:ascii="Times New Roman" w:hAnsi="Times New Roman"/>
          <w:color w:val="000000"/>
          <w:sz w:val="20"/>
        </w:rPr>
        <w:t xml:space="preserve">Giovanni Mariggi, Ph.D. </w:t>
      </w:r>
    </w:p>
    <w:p>
      <w:pPr>
        <w:pStyle w:val="TextBody"/>
        <w:bidi w:val="0"/>
        <w:jc w:val="left"/>
        <w:rPr>
          <w:rFonts w:ascii="Times New Roman" w:hAnsi="Times New Roman"/>
          <w:color w:val="000000"/>
          <w:sz w:val="20"/>
        </w:rPr>
      </w:pPr>
      <w:r>
        <w:rPr>
          <w:rFonts w:ascii="Times New Roman" w:hAnsi="Times New Roman"/>
          <w:color w:val="000000"/>
          <w:sz w:val="20"/>
        </w:rPr>
        <w:t xml:space="preserve">Antony Mattessich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April 20,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4" w:name="householding"/>
      <w:bookmarkEnd w:id="14"/>
      <w:r>
        <w:rPr>
          <w:rFonts w:ascii="Times New Roman" w:hAnsi="Times New Roman"/>
          <w:b/>
          <w:color w:val="000000"/>
          <w:sz w:val="20"/>
        </w:rPr>
        <w:t>HOUSEHOLDING</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Aura Biosciences, Inc., 80 Guest Street, Boston, MA 02135, Attention: Corporate Secretary, telephone: (617) 500-8864.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 </w:t>
      </w:r>
    </w:p>
    <w:p>
      <w:pPr>
        <w:pStyle w:val="TextBody"/>
        <w:bidi w:val="0"/>
        <w:spacing w:before="240" w:after="283"/>
        <w:jc w:val="center"/>
        <w:rPr>
          <w:rFonts w:ascii="Times New Roman" w:hAnsi="Times New Roman"/>
          <w:sz w:val="20"/>
        </w:rPr>
      </w:pPr>
      <w:bookmarkStart w:id="15" w:name="stockholder_proposals"/>
      <w:bookmarkEnd w:id="15"/>
      <w:r>
        <w:rPr>
          <w:rFonts w:ascii="Times New Roman" w:hAnsi="Times New Roman"/>
          <w:b/>
          <w:color w:val="000000"/>
          <w:sz w:val="20"/>
        </w:rPr>
        <w:t>STOCKHOLDER PROPOSALS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stockholder who would like to have a proposal considered for inclusion in our 2027 proxy statement must submit the proposal in accordance with the procedures outlined in Rule 14a-8 of the Exchange Act so that it is received by us no later than December 21,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The SEC rules set standards for eligibility and specify the types of stockholder proposals that may be excluded from a proxy statement. Stockholder proposals must be delivered by mail to Aura Biosciences, Inc., 80 Guest Street, Boston, MA 02135, Attention: Corporate Secretary. We also encourage you to submit any such proposals via email to proxy@aurabiosciences.com.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comply with the universal proxy rules, stockholders who intend to solicit proxies in support of director nominees other than the Company’s nominees must provide notice that sets forth the information required by Rule 14a-19 under the Exchange Act no later than April 12, 2027.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17, 2027 and no later than March 19, 2027. Stockholder proposals and the required notice should be addressed to Aura Biosciences, Inc., 80 Guest Street, Boston, MA 02135, Attention: Corporate Secretary. </w:t>
      </w:r>
    </w:p>
    <w:p>
      <w:pPr>
        <w:pStyle w:val="TextBody"/>
        <w:bidi w:val="0"/>
        <w:spacing w:before="240" w:after="283"/>
        <w:jc w:val="center"/>
        <w:rPr>
          <w:rFonts w:ascii="Times New Roman" w:hAnsi="Times New Roman"/>
          <w:sz w:val="20"/>
        </w:rPr>
      </w:pPr>
      <w:bookmarkStart w:id="16" w:name="other_matters"/>
      <w:bookmarkEnd w:id="16"/>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80"/>
        <w:gridCol w:w="1284"/>
        <w:gridCol w:w="3689"/>
        <w:gridCol w:w="1552"/>
      </w:tblGrid>
      <w:tr>
        <w:trPr/>
        <w:tc>
          <w:tcPr>
            <w:tcW w:w="36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r>
      <w:tr>
        <w:trPr/>
        <w:tc>
          <w:tcPr>
            <w:tcW w:w="3680" w:type="dxa"/>
            <w:tcBorders/>
            <w:tcMar>
              <w:top w:w="0" w:type="dxa"/>
              <w:left w:w="0" w:type="dxa"/>
              <w:bottom w:w="0" w:type="dxa"/>
              <w:right w:w="0" w:type="dxa"/>
            </w:tcMar>
            <w:vAlign w:val="center"/>
          </w:tcPr>
          <w:p>
            <w:pPr>
              <w:pStyle w:val="TableContents"/>
              <w:bidi w:val="0"/>
              <w:spacing w:before="0" w:after="283"/>
              <w:ind w:left="0" w:right="0" w:firstLine="144"/>
              <w:jc w:val="left"/>
              <w:rPr/>
            </w:pPr>
            <w:r>
              <w:rPr/>
              <w:drawing>
                <wp:inline distT="0" distB="0" distL="0" distR="0">
                  <wp:extent cx="2181225" cy="5429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2181225" cy="542925"/>
                          </a:xfrm>
                          <a:prstGeom prst="rect">
                            <a:avLst/>
                          </a:prstGeom>
                        </pic:spPr>
                      </pic:pic>
                    </a:graphicData>
                  </a:graphic>
                </wp:inline>
              </w:drawing>
            </w:r>
          </w:p>
        </w:tc>
        <w:tc>
          <w:tcPr>
            <w:tcW w:w="1284"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drawing>
                <wp:inline distT="0" distB="0" distL="0" distR="0">
                  <wp:extent cx="314325" cy="5334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9"/>
                          <a:stretch>
                            <a:fillRect/>
                          </a:stretch>
                        </pic:blipFill>
                        <pic:spPr bwMode="auto">
                          <a:xfrm>
                            <a:off x="0" y="0"/>
                            <a:ext cx="314325" cy="533400"/>
                          </a:xfrm>
                          <a:prstGeom prst="rect">
                            <a:avLst/>
                          </a:prstGeom>
                        </pic:spPr>
                      </pic:pic>
                    </a:graphicData>
                  </a:graphic>
                </wp:inline>
              </w:drawing>
            </w:r>
          </w:p>
        </w:tc>
        <w:tc>
          <w:tcPr>
            <w:tcW w:w="3689" w:type="dxa"/>
            <w:tcBorders/>
            <w:tcMar>
              <w:top w:w="0" w:type="dxa"/>
              <w:left w:w="0" w:type="dxa"/>
              <w:bottom w:w="0" w:type="dxa"/>
              <w:right w:w="0" w:type="dxa"/>
            </w:tcMar>
            <w:vAlign w:val="center"/>
          </w:tcPr>
          <w:p>
            <w:pPr>
              <w:pStyle w:val="TableContents"/>
              <w:bidi w:val="0"/>
              <w:jc w:val="center"/>
              <w:rPr>
                <w:rFonts w:ascii="sans-serif" w:hAnsi="sans-serif"/>
                <w:b/>
                <w:color w:val="363435"/>
                <w:sz w:val="30"/>
              </w:rPr>
            </w:pPr>
            <w:r>
              <w:rPr>
                <w:rFonts w:ascii="sans-serif" w:hAnsi="sans-serif"/>
                <w:b/>
                <w:color w:val="363435"/>
                <w:sz w:val="30"/>
              </w:rPr>
              <w:t>SCAN TO</w:t>
            </w:r>
          </w:p>
          <w:p>
            <w:pPr>
              <w:pStyle w:val="TableContents"/>
              <w:bidi w:val="0"/>
              <w:spacing w:before="0" w:after="283"/>
              <w:ind w:left="0" w:right="0" w:firstLine="144"/>
              <w:jc w:val="center"/>
              <w:rPr>
                <w:rFonts w:ascii="sans-serif" w:hAnsi="sans-serif"/>
                <w:b/>
                <w:color w:val="363435"/>
                <w:sz w:val="16"/>
              </w:rPr>
            </w:pPr>
            <w:r>
              <w:rPr>
                <w:rFonts w:ascii="sans-serif" w:hAnsi="sans-serif"/>
                <w:b/>
                <w:color w:val="363435"/>
                <w:sz w:val="16"/>
              </w:rPr>
              <w:t>VIEW MATERIALS &amp; VOTE</w:t>
            </w:r>
          </w:p>
        </w:tc>
        <w:tc>
          <w:tcPr>
            <w:tcW w:w="1552" w:type="dxa"/>
            <w:tcBorders/>
            <w:tcMar>
              <w:top w:w="0" w:type="dxa"/>
              <w:left w:w="0" w:type="dxa"/>
              <w:bottom w:w="0" w:type="dxa"/>
              <w:right w:w="0" w:type="dxa"/>
            </w:tcMar>
            <w:vAlign w:val="center"/>
          </w:tcPr>
          <w:p>
            <w:pPr>
              <w:pStyle w:val="TableContents"/>
              <w:bidi w:val="0"/>
              <w:spacing w:before="0" w:after="283"/>
              <w:ind w:left="144" w:right="0" w:firstLine="144"/>
              <w:jc w:val="left"/>
              <w:rPr/>
            </w:pPr>
            <w:r>
              <w:rPr/>
              <w:drawing>
                <wp:inline distT="0" distB="0" distL="0" distR="0">
                  <wp:extent cx="381000" cy="4667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10"/>
                          <a:stretch>
                            <a:fillRect/>
                          </a:stretch>
                        </pic:blipFill>
                        <pic:spPr bwMode="auto">
                          <a:xfrm>
                            <a:off x="0" y="0"/>
                            <a:ext cx="381000" cy="466725"/>
                          </a:xfrm>
                          <a:prstGeom prst="rect">
                            <a:avLst/>
                          </a:prstGeom>
                        </pic:spPr>
                      </pic:pic>
                    </a:graphicData>
                  </a:graphic>
                </wp:inline>
              </w:drawing>
            </w:r>
          </w:p>
        </w:tc>
      </w:tr>
      <w:tr>
        <w:trPr/>
        <w:tc>
          <w:tcPr>
            <w:tcW w:w="3680" w:type="dxa"/>
            <w:tcBorders/>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80"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363435"/>
                <w:sz w:val="10"/>
              </w:rPr>
            </w:pPr>
            <w:r>
              <w:rPr>
                <w:rFonts w:ascii="sans-serif" w:hAnsi="sans-serif"/>
                <w:i/>
                <w:color w:val="363435"/>
                <w:sz w:val="10"/>
              </w:rPr>
              <w:t>AURA BIOSCIENCES, INC.</w:t>
            </w:r>
          </w:p>
        </w:tc>
        <w:tc>
          <w:tcPr>
            <w:tcW w:w="6525" w:type="dxa"/>
            <w:gridSpan w:val="3"/>
            <w:tcBorders/>
            <w:tcMar>
              <w:top w:w="0" w:type="dxa"/>
              <w:left w:w="0" w:type="dxa"/>
              <w:bottom w:w="0" w:type="dxa"/>
              <w:right w:w="0" w:type="dxa"/>
            </w:tcMar>
            <w:vAlign w:val="center"/>
          </w:tcPr>
          <w:p>
            <w:pPr>
              <w:pStyle w:val="TableContents"/>
              <w:bidi w:val="0"/>
              <w:spacing w:before="0" w:after="283"/>
              <w:jc w:val="left"/>
              <w:rPr>
                <w:rFonts w:ascii="sans-serif" w:hAnsi="sans-serif"/>
                <w:b/>
                <w:color w:val="363435"/>
                <w:sz w:val="12"/>
              </w:rPr>
            </w:pPr>
            <w:r>
              <w:rPr>
                <w:rFonts w:ascii="sans-serif" w:hAnsi="sans-serif"/>
                <w:b/>
                <w:color w:val="363435"/>
                <w:sz w:val="12"/>
              </w:rPr>
              <w:t>VOTE BY INTERNET</w:t>
            </w:r>
          </w:p>
        </w:tc>
      </w:tr>
      <w:tr>
        <w:trPr/>
        <w:tc>
          <w:tcPr>
            <w:tcW w:w="3680"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363435"/>
                <w:sz w:val="10"/>
              </w:rPr>
            </w:pPr>
            <w:r>
              <w:rPr>
                <w:rFonts w:ascii="sans-serif" w:hAnsi="sans-serif"/>
                <w:i/>
                <w:color w:val="363435"/>
                <w:sz w:val="10"/>
              </w:rPr>
              <w:t>80 GUEST STREET</w:t>
            </w:r>
          </w:p>
        </w:tc>
        <w:tc>
          <w:tcPr>
            <w:tcW w:w="652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sans-serif" w:hAnsi="sans-serif"/>
                <w:i/>
                <w:color w:val="363435"/>
                <w:sz w:val="12"/>
              </w:rPr>
              <w:t xml:space="preserve">Before The Meeting </w:t>
            </w:r>
            <w:r>
              <w:rPr>
                <w:rFonts w:ascii="sans-serif" w:hAnsi="sans-serif"/>
                <w:color w:val="363435"/>
                <w:sz w:val="12"/>
              </w:rPr>
              <w:t xml:space="preserve">- Go to </w:t>
            </w:r>
            <w:r>
              <w:rPr>
                <w:rFonts w:ascii="sans-serif" w:hAnsi="sans-serif"/>
                <w:b/>
                <w:color w:val="363435"/>
                <w:sz w:val="12"/>
              </w:rPr>
              <w:t>www.proxyvote.com or scan the QR Barcode above</w:t>
            </w:r>
          </w:p>
        </w:tc>
      </w:tr>
      <w:tr>
        <w:trPr/>
        <w:tc>
          <w:tcPr>
            <w:tcW w:w="3680"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363435"/>
                <w:sz w:val="10"/>
              </w:rPr>
            </w:pPr>
            <w:r>
              <w:rPr>
                <w:rFonts w:ascii="sans-serif" w:hAnsi="sans-serif"/>
                <w:i/>
                <w:color w:val="363435"/>
                <w:sz w:val="10"/>
              </w:rPr>
              <w:t>BOSTON, MA 02135</w:t>
            </w:r>
          </w:p>
        </w:tc>
        <w:tc>
          <w:tcPr>
            <w:tcW w:w="652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80" w:type="dxa"/>
            <w:tcBorders/>
            <w:tcMar>
              <w:top w:w="0" w:type="dxa"/>
              <w:left w:w="0" w:type="dxa"/>
              <w:bottom w:w="0" w:type="dxa"/>
              <w:right w:w="0" w:type="dxa"/>
            </w:tcMar>
            <w:vAlign w:val="center"/>
          </w:tcPr>
          <w:p>
            <w:pPr>
              <w:pStyle w:val="TableContents"/>
              <w:bidi w:val="0"/>
              <w:spacing w:before="0" w:after="283"/>
              <w:jc w:val="left"/>
              <w:rPr>
                <w:rFonts w:ascii="sans-serif" w:hAnsi="sans-serif"/>
                <w:i/>
                <w:color w:val="363435"/>
                <w:sz w:val="10"/>
              </w:rPr>
            </w:pPr>
            <w:r>
              <w:rPr>
                <w:rFonts w:ascii="sans-serif" w:hAnsi="sans-serif"/>
                <w:i/>
                <w:color w:val="363435"/>
                <w:sz w:val="10"/>
              </w:rPr>
              <w:t>UNITED STATES</w:t>
            </w:r>
          </w:p>
        </w:tc>
        <w:tc>
          <w:tcPr>
            <w:tcW w:w="6525" w:type="dxa"/>
            <w:gridSpan w:val="3"/>
            <w:tcBorders/>
            <w:tcMar>
              <w:top w:w="0" w:type="dxa"/>
              <w:left w:w="0" w:type="dxa"/>
              <w:bottom w:w="0" w:type="dxa"/>
              <w:right w:w="0" w:type="dxa"/>
            </w:tcMar>
            <w:vAlign w:val="center"/>
          </w:tcPr>
          <w:p>
            <w:pPr>
              <w:pStyle w:val="TableContents"/>
              <w:bidi w:val="0"/>
              <w:spacing w:before="0" w:after="283"/>
              <w:jc w:val="both"/>
              <w:rPr>
                <w:rFonts w:ascii="sans-serif" w:hAnsi="sans-serif"/>
                <w:color w:val="363435"/>
                <w:sz w:val="12"/>
              </w:rPr>
            </w:pPr>
            <w:r>
              <w:rPr>
                <w:rFonts w:ascii="sans-serif" w:hAnsi="sans-serif"/>
                <w:color w:val="363435"/>
                <w:sz w:val="12"/>
              </w:rPr>
              <w:t>Use the Internet to transmit your voting instructions and for electronic delivery of information up until 11:59 p.m. Eastern Time on June 10, 2026. Have your proxy card in hand when you access the web site and follow the instructions to obtain your records and to create an electronic voting instruction form.</w:t>
            </w:r>
          </w:p>
        </w:tc>
      </w:tr>
      <w:tr>
        <w:trPr/>
        <w:tc>
          <w:tcPr>
            <w:tcW w:w="3680" w:type="dxa"/>
            <w:tcBorders/>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80" w:type="dxa"/>
            <w:tcBorders/>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sans-serif" w:hAnsi="sans-serif"/>
                <w:i/>
                <w:color w:val="363435"/>
                <w:sz w:val="12"/>
              </w:rPr>
              <w:t xml:space="preserve">During The Meeting </w:t>
            </w:r>
            <w:r>
              <w:rPr>
                <w:rFonts w:ascii="sans-serif" w:hAnsi="sans-serif"/>
                <w:color w:val="363435"/>
                <w:sz w:val="12"/>
              </w:rPr>
              <w:t xml:space="preserve">- Go to </w:t>
            </w:r>
            <w:r>
              <w:rPr>
                <w:rFonts w:ascii="sans-serif" w:hAnsi="sans-serif"/>
                <w:b/>
                <w:color w:val="363435"/>
                <w:sz w:val="12"/>
              </w:rPr>
              <w:t>www.virtualshareholdermeeting.com/AURA2026</w:t>
            </w:r>
          </w:p>
        </w:tc>
      </w:tr>
      <w:tr>
        <w:trPr/>
        <w:tc>
          <w:tcPr>
            <w:tcW w:w="3680" w:type="dxa"/>
            <w:tcBorders/>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80" w:type="dxa"/>
            <w:tcBorders/>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3"/>
            <w:tcBorders/>
            <w:tcMar>
              <w:top w:w="0" w:type="dxa"/>
              <w:left w:w="0" w:type="dxa"/>
              <w:bottom w:w="0" w:type="dxa"/>
              <w:right w:w="0" w:type="dxa"/>
            </w:tcMar>
            <w:vAlign w:val="center"/>
          </w:tcPr>
          <w:p>
            <w:pPr>
              <w:pStyle w:val="TableContents"/>
              <w:bidi w:val="0"/>
              <w:spacing w:before="0" w:after="283"/>
              <w:jc w:val="left"/>
              <w:rPr>
                <w:rFonts w:ascii="sans-serif" w:hAnsi="sans-serif"/>
                <w:color w:val="363435"/>
                <w:sz w:val="12"/>
              </w:rPr>
            </w:pPr>
            <w:r>
              <w:rPr>
                <w:rFonts w:ascii="sans-serif" w:hAnsi="sans-serif"/>
                <w:color w:val="363435"/>
                <w:sz w:val="12"/>
              </w:rPr>
              <w:t>You may attend the meeting via the Internet and vote during the meeting. Have the information that is printed in the box marked by the arrow available and follow the instructions.</w:t>
            </w:r>
          </w:p>
        </w:tc>
      </w:tr>
      <w:tr>
        <w:trPr/>
        <w:tc>
          <w:tcPr>
            <w:tcW w:w="3680" w:type="dxa"/>
            <w:tcBorders/>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80" w:type="dxa"/>
            <w:tcBorders/>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3"/>
            <w:tcBorders/>
            <w:tcMar>
              <w:top w:w="0" w:type="dxa"/>
              <w:left w:w="0" w:type="dxa"/>
              <w:bottom w:w="0" w:type="dxa"/>
              <w:right w:w="0" w:type="dxa"/>
            </w:tcMar>
            <w:vAlign w:val="center"/>
          </w:tcPr>
          <w:p>
            <w:pPr>
              <w:pStyle w:val="TableContents"/>
              <w:bidi w:val="0"/>
              <w:spacing w:before="0" w:after="283"/>
              <w:jc w:val="left"/>
              <w:rPr>
                <w:rFonts w:ascii="sans-serif" w:hAnsi="sans-serif"/>
                <w:b/>
                <w:color w:val="363435"/>
                <w:sz w:val="12"/>
              </w:rPr>
            </w:pPr>
            <w:r>
              <w:rPr>
                <w:rFonts w:ascii="sans-serif" w:hAnsi="sans-serif"/>
                <w:b/>
                <w:color w:val="363435"/>
                <w:sz w:val="12"/>
              </w:rPr>
              <w:t>VOTE BY PHONE - 1-800-690-6903</w:t>
            </w:r>
          </w:p>
        </w:tc>
      </w:tr>
      <w:tr>
        <w:trPr/>
        <w:tc>
          <w:tcPr>
            <w:tcW w:w="3680" w:type="dxa"/>
            <w:tcBorders/>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3"/>
            <w:tcBorders/>
            <w:tcMar>
              <w:top w:w="0" w:type="dxa"/>
              <w:left w:w="0" w:type="dxa"/>
              <w:bottom w:w="0" w:type="dxa"/>
              <w:right w:w="0" w:type="dxa"/>
            </w:tcMar>
            <w:vAlign w:val="center"/>
          </w:tcPr>
          <w:p>
            <w:pPr>
              <w:pStyle w:val="TableContents"/>
              <w:bidi w:val="0"/>
              <w:spacing w:before="0" w:after="283"/>
              <w:jc w:val="left"/>
              <w:rPr>
                <w:rFonts w:ascii="sans-serif" w:hAnsi="sans-serif"/>
                <w:color w:val="363435"/>
                <w:sz w:val="12"/>
              </w:rPr>
            </w:pPr>
            <w:r>
              <w:rPr>
                <w:rFonts w:ascii="sans-serif" w:hAnsi="sans-serif"/>
                <w:color w:val="363435"/>
                <w:sz w:val="12"/>
              </w:rPr>
              <w:t>Use any touch-tone telephone to transmit your voting instructions up until 11:59 p.m. Eastern Time on June 10, 2026. Have your proxy card in hand when you call and then follow the instructions.</w:t>
            </w:r>
          </w:p>
        </w:tc>
      </w:tr>
      <w:tr>
        <w:trPr/>
        <w:tc>
          <w:tcPr>
            <w:tcW w:w="3680" w:type="dxa"/>
            <w:tcBorders/>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80" w:type="dxa"/>
            <w:tcBorders/>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3"/>
            <w:tcBorders/>
            <w:tcMar>
              <w:top w:w="0" w:type="dxa"/>
              <w:left w:w="0" w:type="dxa"/>
              <w:bottom w:w="0" w:type="dxa"/>
              <w:right w:w="0" w:type="dxa"/>
            </w:tcMar>
            <w:vAlign w:val="center"/>
          </w:tcPr>
          <w:p>
            <w:pPr>
              <w:pStyle w:val="TableContents"/>
              <w:bidi w:val="0"/>
              <w:spacing w:before="0" w:after="283"/>
              <w:jc w:val="both"/>
              <w:rPr>
                <w:rFonts w:ascii="sans-serif" w:hAnsi="sans-serif"/>
                <w:b/>
                <w:color w:val="363435"/>
                <w:sz w:val="12"/>
              </w:rPr>
            </w:pPr>
            <w:r>
              <w:rPr>
                <w:rFonts w:ascii="sans-serif" w:hAnsi="sans-serif"/>
                <w:b/>
                <w:color w:val="363435"/>
                <w:sz w:val="12"/>
              </w:rPr>
              <w:t>VOTE BY MAIL</w:t>
            </w:r>
          </w:p>
        </w:tc>
      </w:tr>
      <w:tr>
        <w:trPr/>
        <w:tc>
          <w:tcPr>
            <w:tcW w:w="3680" w:type="dxa"/>
            <w:tcBorders/>
            <w:tcMar>
              <w:top w:w="0" w:type="dxa"/>
              <w:left w:w="0" w:type="dxa"/>
              <w:bottom w:w="0" w:type="dxa"/>
              <w:right w:w="0" w:type="dxa"/>
            </w:tcMar>
            <w:vAlign w:val="center"/>
          </w:tcPr>
          <w:p>
            <w:pPr>
              <w:pStyle w:val="TableContents"/>
              <w:bidi w:val="0"/>
              <w:spacing w:before="0" w:after="283"/>
              <w:jc w:val="left"/>
              <w:rPr/>
            </w:pPr>
            <w:r>
              <w:rPr/>
              <w:t> </w:t>
            </w:r>
          </w:p>
        </w:tc>
        <w:tc>
          <w:tcPr>
            <w:tcW w:w="6525" w:type="dxa"/>
            <w:gridSpan w:val="3"/>
            <w:tcBorders/>
            <w:tcMar>
              <w:top w:w="0" w:type="dxa"/>
              <w:left w:w="0" w:type="dxa"/>
              <w:bottom w:w="0" w:type="dxa"/>
              <w:right w:w="0" w:type="dxa"/>
            </w:tcMar>
            <w:vAlign w:val="center"/>
          </w:tcPr>
          <w:p>
            <w:pPr>
              <w:pStyle w:val="TableContents"/>
              <w:bidi w:val="0"/>
              <w:spacing w:before="0" w:after="283"/>
              <w:jc w:val="left"/>
              <w:rPr>
                <w:rFonts w:ascii="sans-serif" w:hAnsi="sans-serif"/>
                <w:color w:val="363435"/>
                <w:sz w:val="12"/>
              </w:rPr>
            </w:pPr>
            <w:r>
              <w:rPr>
                <w:rFonts w:ascii="sans-serif" w:hAnsi="sans-serif"/>
                <w:color w:val="363435"/>
                <w:sz w:val="12"/>
              </w:rPr>
              <w:t>Mark, sign and date your proxy card and return it in the postage-paid envelope we have provided or return it to Vote Processing, c/o Broadridge, 51 Mercedes Way, Edgewood, NY 11717.</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363435"/>
          <w:sz w:val="20"/>
        </w:rPr>
      </w:pPr>
      <w:r>
        <w:rPr>
          <w:rFonts w:ascii="sans-serif" w:hAnsi="sans-serif"/>
          <w:b/>
          <w:color w:val="363435"/>
          <w:sz w:val="20"/>
        </w:rPr>
        <w:t>Important Notice Regarding the Availability of Proxy Materials for the Annual Meeting:</w:t>
      </w:r>
    </w:p>
    <w:p>
      <w:pPr>
        <w:pStyle w:val="TextBody"/>
        <w:bidi w:val="0"/>
        <w:jc w:val="center"/>
        <w:rPr>
          <w:rFonts w:ascii="sans-serif" w:hAnsi="sans-serif"/>
          <w:color w:val="363435"/>
          <w:sz w:val="20"/>
        </w:rPr>
      </w:pPr>
      <w:r>
        <w:rPr>
          <w:rFonts w:ascii="sans-serif" w:hAnsi="sans-serif"/>
          <w:color w:val="363435"/>
          <w:sz w:val="20"/>
        </w:rPr>
        <w:t>The Notice, Proxy Statement and 2025 Annual Report are available at www.proxyvote.com.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4.gif"/><Relationship Id="rId9" Type="http://schemas.openxmlformats.org/officeDocument/2006/relationships/image" Target="media/image5.gif"/><Relationship Id="rId10" Type="http://schemas.openxmlformats.org/officeDocument/2006/relationships/image" Target="media/image6.gif"/><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22010</Words>
  <Characters>116972</Characters>
  <CharactersWithSpaces>139643</CharactersWithSpaces>
  <Paragraphs>2653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